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DB4F67" w14:textId="77777777" w:rsidR="00E77209" w:rsidRDefault="00E77209">
      <w:pPr>
        <w:adjustRightInd w:val="0"/>
        <w:snapToGrid w:val="0"/>
        <w:jc w:val="center"/>
        <w:rPr>
          <w:rFonts w:ascii="彩虹粗仿宋" w:eastAsia="彩虹粗仿宋" w:hAnsi="宋体" w:cs="Arial"/>
          <w:sz w:val="24"/>
        </w:rPr>
      </w:pPr>
      <w:bookmarkStart w:id="0" w:name="_GoBack"/>
      <w:bookmarkEnd w:id="0"/>
    </w:p>
    <w:p w14:paraId="3281D7FE" w14:textId="77777777" w:rsidR="00E77209" w:rsidRDefault="00E77209">
      <w:pPr>
        <w:adjustRightInd w:val="0"/>
        <w:snapToGrid w:val="0"/>
        <w:jc w:val="center"/>
        <w:rPr>
          <w:rFonts w:ascii="彩虹粗仿宋" w:eastAsia="彩虹粗仿宋" w:hAnsi="宋体" w:cs="Arial"/>
          <w:sz w:val="24"/>
        </w:rPr>
      </w:pPr>
    </w:p>
    <w:p w14:paraId="3A48003F" w14:textId="77777777" w:rsidR="00E77209" w:rsidRDefault="00E77209">
      <w:pPr>
        <w:adjustRightInd w:val="0"/>
        <w:snapToGrid w:val="0"/>
        <w:jc w:val="center"/>
        <w:rPr>
          <w:rFonts w:ascii="彩虹粗仿宋" w:eastAsia="彩虹粗仿宋" w:hAnsi="宋体" w:cs="Arial"/>
          <w:sz w:val="24"/>
        </w:rPr>
      </w:pPr>
    </w:p>
    <w:p w14:paraId="773E3A9D" w14:textId="77777777" w:rsidR="00E77209" w:rsidRDefault="00E77209">
      <w:pPr>
        <w:adjustRightInd w:val="0"/>
        <w:snapToGrid w:val="0"/>
        <w:jc w:val="center"/>
        <w:rPr>
          <w:rFonts w:ascii="彩虹粗仿宋" w:eastAsia="彩虹粗仿宋" w:hAnsi="宋体" w:cs="Arial"/>
          <w:sz w:val="24"/>
        </w:rPr>
      </w:pPr>
    </w:p>
    <w:p w14:paraId="295B8F0D" w14:textId="77777777" w:rsidR="00E77209" w:rsidRDefault="00E77209">
      <w:pPr>
        <w:adjustRightInd w:val="0"/>
        <w:snapToGrid w:val="0"/>
        <w:jc w:val="center"/>
        <w:rPr>
          <w:rFonts w:ascii="彩虹粗仿宋" w:eastAsia="彩虹粗仿宋" w:hAnsi="宋体" w:cs="Arial"/>
          <w:sz w:val="24"/>
        </w:rPr>
      </w:pPr>
    </w:p>
    <w:p w14:paraId="388B9C7F" w14:textId="77777777" w:rsidR="00E77209" w:rsidRDefault="00E77209">
      <w:pPr>
        <w:adjustRightInd w:val="0"/>
        <w:snapToGrid w:val="0"/>
        <w:jc w:val="center"/>
        <w:rPr>
          <w:rFonts w:ascii="彩虹粗仿宋" w:eastAsia="彩虹粗仿宋" w:hAnsi="宋体" w:cs="Arial"/>
          <w:sz w:val="24"/>
        </w:rPr>
      </w:pPr>
    </w:p>
    <w:p w14:paraId="5EFF8582" w14:textId="77777777" w:rsidR="00E77209" w:rsidRDefault="00E77209">
      <w:pPr>
        <w:adjustRightInd w:val="0"/>
        <w:snapToGrid w:val="0"/>
        <w:jc w:val="center"/>
        <w:rPr>
          <w:rFonts w:ascii="彩虹粗仿宋" w:eastAsia="彩虹粗仿宋" w:hAnsi="宋体" w:cs="Arial"/>
          <w:sz w:val="24"/>
        </w:rPr>
      </w:pPr>
    </w:p>
    <w:p w14:paraId="0BB1B01C" w14:textId="77777777" w:rsidR="00E77209" w:rsidRDefault="00E77209">
      <w:pPr>
        <w:adjustRightInd w:val="0"/>
        <w:snapToGrid w:val="0"/>
        <w:jc w:val="center"/>
        <w:rPr>
          <w:rFonts w:ascii="彩虹粗仿宋" w:eastAsia="彩虹粗仿宋" w:hAnsi="宋体" w:cs="Arial"/>
          <w:sz w:val="24"/>
        </w:rPr>
      </w:pPr>
    </w:p>
    <w:p w14:paraId="3ABDDA85" w14:textId="77777777" w:rsidR="00E77209" w:rsidRDefault="00E77209">
      <w:pPr>
        <w:adjustRightInd w:val="0"/>
        <w:snapToGrid w:val="0"/>
        <w:jc w:val="center"/>
        <w:rPr>
          <w:rFonts w:ascii="彩虹粗仿宋" w:eastAsia="彩虹粗仿宋" w:hAnsi="宋体" w:cs="Arial"/>
          <w:sz w:val="24"/>
        </w:rPr>
      </w:pPr>
    </w:p>
    <w:p w14:paraId="2074EA93" w14:textId="77777777" w:rsidR="00E77209" w:rsidRDefault="00E77209">
      <w:pPr>
        <w:adjustRightInd w:val="0"/>
        <w:snapToGrid w:val="0"/>
        <w:jc w:val="center"/>
        <w:rPr>
          <w:rFonts w:ascii="彩虹粗仿宋" w:eastAsia="彩虹粗仿宋" w:hAnsi="宋体" w:cs="Arial"/>
          <w:sz w:val="24"/>
        </w:rPr>
      </w:pPr>
    </w:p>
    <w:p w14:paraId="4057BD1A" w14:textId="77777777" w:rsidR="00E77209" w:rsidRDefault="00E77209">
      <w:pPr>
        <w:adjustRightInd w:val="0"/>
        <w:snapToGrid w:val="0"/>
        <w:jc w:val="center"/>
        <w:rPr>
          <w:rFonts w:ascii="彩虹粗仿宋" w:eastAsia="彩虹粗仿宋" w:hAnsi="宋体" w:cs="Arial"/>
          <w:sz w:val="24"/>
        </w:rPr>
      </w:pPr>
    </w:p>
    <w:p w14:paraId="00FE7507" w14:textId="77777777" w:rsidR="00E77209" w:rsidRDefault="009B3274">
      <w:pPr>
        <w:adjustRightInd w:val="0"/>
        <w:snapToGrid w:val="0"/>
        <w:jc w:val="center"/>
        <w:rPr>
          <w:rFonts w:ascii="彩虹粗仿宋" w:eastAsia="彩虹粗仿宋" w:hAnsi="宋体" w:cs="Arial"/>
          <w:b/>
          <w:sz w:val="44"/>
        </w:rPr>
      </w:pPr>
      <w:r>
        <w:rPr>
          <w:rFonts w:ascii="彩虹粗仿宋" w:eastAsia="彩虹粗仿宋" w:hAnsi="宋体" w:cs="Arial" w:hint="eastAsia"/>
          <w:b/>
          <w:sz w:val="44"/>
        </w:rPr>
        <w:t>华商时代甄选混合型证券投资基金</w:t>
      </w:r>
    </w:p>
    <w:p w14:paraId="3CDC3435" w14:textId="65558BD9" w:rsidR="00E77209" w:rsidRDefault="009B3274">
      <w:pPr>
        <w:adjustRightInd w:val="0"/>
        <w:snapToGrid w:val="0"/>
        <w:jc w:val="center"/>
        <w:rPr>
          <w:rFonts w:ascii="彩虹粗仿宋" w:eastAsia="彩虹粗仿宋" w:hAnsi="宋体" w:cs="Arial"/>
          <w:b/>
          <w:sz w:val="44"/>
        </w:rPr>
      </w:pPr>
      <w:r>
        <w:rPr>
          <w:rFonts w:ascii="彩虹粗仿宋" w:eastAsia="彩虹粗仿宋" w:hAnsi="宋体" w:cs="Arial" w:hint="eastAsia"/>
          <w:b/>
          <w:sz w:val="44"/>
        </w:rPr>
        <w:t>托管协议</w:t>
      </w:r>
    </w:p>
    <w:p w14:paraId="66CBA49A" w14:textId="77777777" w:rsidR="00E77209" w:rsidRDefault="00E77209">
      <w:pPr>
        <w:adjustRightInd w:val="0"/>
        <w:snapToGrid w:val="0"/>
        <w:jc w:val="center"/>
        <w:outlineLvl w:val="0"/>
        <w:rPr>
          <w:rFonts w:ascii="彩虹粗仿宋" w:eastAsia="彩虹粗仿宋" w:hAnsi="宋体" w:cs="Arial"/>
          <w:sz w:val="24"/>
        </w:rPr>
      </w:pPr>
    </w:p>
    <w:p w14:paraId="2D769AF6" w14:textId="77777777" w:rsidR="00E77209" w:rsidRDefault="00E77209">
      <w:pPr>
        <w:adjustRightInd w:val="0"/>
        <w:snapToGrid w:val="0"/>
        <w:jc w:val="center"/>
        <w:outlineLvl w:val="0"/>
        <w:rPr>
          <w:rFonts w:ascii="彩虹粗仿宋" w:eastAsia="彩虹粗仿宋" w:hAnsi="宋体" w:cs="Arial"/>
          <w:sz w:val="24"/>
        </w:rPr>
      </w:pPr>
    </w:p>
    <w:p w14:paraId="3A23A23D" w14:textId="77777777" w:rsidR="00E77209" w:rsidRDefault="00E77209">
      <w:pPr>
        <w:adjustRightInd w:val="0"/>
        <w:snapToGrid w:val="0"/>
        <w:jc w:val="center"/>
        <w:outlineLvl w:val="0"/>
        <w:rPr>
          <w:rFonts w:ascii="彩虹粗仿宋" w:eastAsia="彩虹粗仿宋" w:hAnsi="宋体" w:cs="Arial"/>
          <w:sz w:val="24"/>
        </w:rPr>
      </w:pPr>
    </w:p>
    <w:p w14:paraId="0413D3F5" w14:textId="77777777" w:rsidR="00E77209" w:rsidRDefault="00E77209">
      <w:pPr>
        <w:adjustRightInd w:val="0"/>
        <w:snapToGrid w:val="0"/>
        <w:jc w:val="center"/>
        <w:outlineLvl w:val="0"/>
        <w:rPr>
          <w:rFonts w:ascii="彩虹粗仿宋" w:eastAsia="彩虹粗仿宋" w:hAnsi="宋体" w:cs="Arial"/>
          <w:sz w:val="24"/>
        </w:rPr>
      </w:pPr>
    </w:p>
    <w:p w14:paraId="07B710A9" w14:textId="77777777" w:rsidR="00E77209" w:rsidRDefault="00E77209">
      <w:pPr>
        <w:adjustRightInd w:val="0"/>
        <w:snapToGrid w:val="0"/>
        <w:jc w:val="center"/>
        <w:outlineLvl w:val="0"/>
        <w:rPr>
          <w:rFonts w:ascii="彩虹粗仿宋" w:eastAsia="彩虹粗仿宋" w:hAnsi="宋体" w:cs="Arial"/>
          <w:sz w:val="24"/>
        </w:rPr>
      </w:pPr>
    </w:p>
    <w:p w14:paraId="1506CEC8" w14:textId="77777777" w:rsidR="00E77209" w:rsidRDefault="00E77209">
      <w:pPr>
        <w:adjustRightInd w:val="0"/>
        <w:snapToGrid w:val="0"/>
        <w:jc w:val="center"/>
        <w:outlineLvl w:val="0"/>
        <w:rPr>
          <w:rFonts w:ascii="彩虹粗仿宋" w:eastAsia="彩虹粗仿宋" w:hAnsi="宋体" w:cs="Arial"/>
          <w:sz w:val="24"/>
        </w:rPr>
      </w:pPr>
    </w:p>
    <w:p w14:paraId="413788A7" w14:textId="77777777" w:rsidR="00E77209" w:rsidRDefault="00E77209">
      <w:pPr>
        <w:adjustRightInd w:val="0"/>
        <w:snapToGrid w:val="0"/>
        <w:jc w:val="center"/>
        <w:outlineLvl w:val="0"/>
        <w:rPr>
          <w:rFonts w:ascii="彩虹粗仿宋" w:eastAsia="彩虹粗仿宋" w:hAnsi="宋体" w:cs="Arial"/>
          <w:sz w:val="24"/>
        </w:rPr>
      </w:pPr>
    </w:p>
    <w:p w14:paraId="0A8238C7" w14:textId="77777777" w:rsidR="00E77209" w:rsidRDefault="00E77209">
      <w:pPr>
        <w:adjustRightInd w:val="0"/>
        <w:snapToGrid w:val="0"/>
        <w:jc w:val="center"/>
        <w:outlineLvl w:val="0"/>
        <w:rPr>
          <w:rFonts w:ascii="彩虹粗仿宋" w:eastAsia="彩虹粗仿宋" w:hAnsi="宋体" w:cs="Arial"/>
          <w:sz w:val="24"/>
        </w:rPr>
      </w:pPr>
    </w:p>
    <w:p w14:paraId="40C8D00F" w14:textId="77777777" w:rsidR="00E77209" w:rsidRDefault="00E77209">
      <w:pPr>
        <w:adjustRightInd w:val="0"/>
        <w:snapToGrid w:val="0"/>
        <w:jc w:val="center"/>
        <w:outlineLvl w:val="0"/>
        <w:rPr>
          <w:rFonts w:ascii="彩虹粗仿宋" w:eastAsia="彩虹粗仿宋" w:hAnsi="宋体" w:cs="Arial"/>
          <w:sz w:val="24"/>
        </w:rPr>
      </w:pPr>
    </w:p>
    <w:p w14:paraId="72E297E7" w14:textId="77777777" w:rsidR="00E77209" w:rsidRDefault="009B3274">
      <w:pPr>
        <w:adjustRightInd w:val="0"/>
        <w:snapToGrid w:val="0"/>
        <w:jc w:val="center"/>
        <w:outlineLvl w:val="0"/>
        <w:rPr>
          <w:rFonts w:ascii="彩虹粗仿宋" w:eastAsia="彩虹粗仿宋" w:hAnsi="宋体" w:cs="Arial"/>
          <w:b/>
          <w:bCs/>
          <w:sz w:val="28"/>
        </w:rPr>
      </w:pPr>
      <w:r>
        <w:rPr>
          <w:rFonts w:ascii="彩虹粗仿宋" w:eastAsia="彩虹粗仿宋" w:hAnsi="宋体" w:cs="Arial" w:hint="eastAsia"/>
          <w:b/>
          <w:bCs/>
          <w:sz w:val="28"/>
        </w:rPr>
        <w:t xml:space="preserve"> 基金管理人：华商基金管理有限公司</w:t>
      </w:r>
    </w:p>
    <w:p w14:paraId="79EA6B8E" w14:textId="77777777" w:rsidR="00E77209" w:rsidRDefault="009B3274">
      <w:pPr>
        <w:adjustRightInd w:val="0"/>
        <w:snapToGrid w:val="0"/>
        <w:jc w:val="center"/>
        <w:outlineLvl w:val="0"/>
        <w:rPr>
          <w:rFonts w:ascii="彩虹粗仿宋" w:eastAsia="彩虹粗仿宋" w:hAnsi="宋体" w:cs="Arial"/>
          <w:b/>
          <w:bCs/>
          <w:sz w:val="28"/>
        </w:rPr>
      </w:pPr>
      <w:r>
        <w:rPr>
          <w:rFonts w:ascii="彩虹粗仿宋" w:eastAsia="彩虹粗仿宋" w:hAnsi="宋体" w:cs="Arial" w:hint="eastAsia"/>
          <w:b/>
          <w:bCs/>
          <w:sz w:val="28"/>
        </w:rPr>
        <w:t xml:space="preserve">     基金托管人：中国建设银行股份有限公司</w:t>
      </w:r>
    </w:p>
    <w:p w14:paraId="312D237E" w14:textId="77777777" w:rsidR="00E77209" w:rsidRDefault="00E77209">
      <w:pPr>
        <w:adjustRightInd w:val="0"/>
        <w:snapToGrid w:val="0"/>
        <w:jc w:val="center"/>
        <w:outlineLvl w:val="0"/>
        <w:rPr>
          <w:rFonts w:ascii="彩虹粗仿宋" w:eastAsia="彩虹粗仿宋" w:hAnsi="宋体" w:cs="Arial"/>
          <w:sz w:val="24"/>
        </w:rPr>
      </w:pPr>
    </w:p>
    <w:p w14:paraId="2BB76AD2" w14:textId="77777777" w:rsidR="00E77209" w:rsidRDefault="00E77209">
      <w:pPr>
        <w:adjustRightInd w:val="0"/>
        <w:snapToGrid w:val="0"/>
        <w:jc w:val="center"/>
        <w:outlineLvl w:val="0"/>
        <w:rPr>
          <w:rFonts w:ascii="彩虹粗仿宋" w:eastAsia="彩虹粗仿宋" w:hAnsi="宋体" w:cs="Arial"/>
          <w:sz w:val="24"/>
        </w:rPr>
      </w:pPr>
    </w:p>
    <w:p w14:paraId="3689D028" w14:textId="1DE2F2BA" w:rsidR="00E77209" w:rsidRDefault="009B3274">
      <w:pPr>
        <w:adjustRightInd w:val="0"/>
        <w:snapToGrid w:val="0"/>
        <w:outlineLvl w:val="0"/>
        <w:rPr>
          <w:rFonts w:ascii="彩虹粗仿宋" w:eastAsia="彩虹粗仿宋" w:hAnsi="宋体" w:cs="Arial"/>
          <w:sz w:val="24"/>
        </w:rPr>
      </w:pPr>
      <w:r>
        <w:rPr>
          <w:rFonts w:ascii="彩虹粗仿宋" w:eastAsia="彩虹粗仿宋" w:hAnsi="宋体" w:cs="Arial" w:hint="eastAsia"/>
          <w:sz w:val="24"/>
        </w:rPr>
        <w:t xml:space="preserve">                            二零二六年</w:t>
      </w:r>
      <w:r w:rsidR="00127A04">
        <w:rPr>
          <w:rFonts w:ascii="彩虹粗仿宋" w:eastAsia="彩虹粗仿宋" w:hAnsi="宋体" w:cs="Arial" w:hint="eastAsia"/>
          <w:sz w:val="24"/>
        </w:rPr>
        <w:t>七</w:t>
      </w:r>
      <w:r>
        <w:rPr>
          <w:rFonts w:ascii="彩虹粗仿宋" w:eastAsia="彩虹粗仿宋" w:hAnsi="宋体" w:cs="Arial" w:hint="eastAsia"/>
          <w:sz w:val="24"/>
        </w:rPr>
        <w:t>月</w:t>
      </w:r>
    </w:p>
    <w:p w14:paraId="60036E83" w14:textId="77777777" w:rsidR="00E77209" w:rsidRDefault="00E77209">
      <w:pPr>
        <w:adjustRightInd w:val="0"/>
        <w:snapToGrid w:val="0"/>
        <w:jc w:val="center"/>
        <w:outlineLvl w:val="0"/>
        <w:rPr>
          <w:rFonts w:ascii="彩虹粗仿宋" w:eastAsia="彩虹粗仿宋" w:hAnsi="宋体" w:cs="Arial"/>
          <w:sz w:val="24"/>
        </w:rPr>
      </w:pPr>
    </w:p>
    <w:p w14:paraId="7C31F0D6" w14:textId="77777777" w:rsidR="00E77209" w:rsidRDefault="00E77209">
      <w:pPr>
        <w:adjustRightInd w:val="0"/>
        <w:snapToGrid w:val="0"/>
        <w:jc w:val="center"/>
        <w:rPr>
          <w:rFonts w:ascii="彩虹粗仿宋" w:eastAsia="彩虹粗仿宋" w:hAnsi="宋体" w:cs="Arial"/>
          <w:bCs/>
          <w:sz w:val="24"/>
        </w:rPr>
        <w:sectPr w:rsidR="00E77209">
          <w:footerReference w:type="even" r:id="rId7"/>
          <w:footerReference w:type="default" r:id="rId8"/>
          <w:pgSz w:w="11906" w:h="16838"/>
          <w:pgMar w:top="1418" w:right="1701" w:bottom="1418" w:left="1701" w:header="851" w:footer="992" w:gutter="0"/>
          <w:cols w:space="425"/>
          <w:docGrid w:type="lines" w:linePitch="312"/>
        </w:sectPr>
      </w:pPr>
    </w:p>
    <w:p w14:paraId="22F14060" w14:textId="77777777" w:rsidR="00E77209" w:rsidRDefault="009B3274">
      <w:pPr>
        <w:jc w:val="center"/>
        <w:rPr>
          <w:rFonts w:ascii="彩虹粗仿宋" w:eastAsia="彩虹粗仿宋"/>
          <w:b/>
          <w:bCs/>
          <w:sz w:val="30"/>
        </w:rPr>
      </w:pPr>
      <w:r>
        <w:rPr>
          <w:rFonts w:ascii="彩虹粗仿宋" w:eastAsia="彩虹粗仿宋" w:hint="eastAsia"/>
          <w:b/>
          <w:bCs/>
          <w:sz w:val="30"/>
        </w:rPr>
        <w:lastRenderedPageBreak/>
        <w:t>目    录</w:t>
      </w:r>
    </w:p>
    <w:p w14:paraId="4A28D4DA" w14:textId="77777777" w:rsidR="00E77209" w:rsidRDefault="009B3274">
      <w:pPr>
        <w:pStyle w:val="23"/>
        <w:tabs>
          <w:tab w:val="right" w:leader="dot" w:pos="8494"/>
        </w:tabs>
        <w:rPr>
          <w:rFonts w:ascii="彩虹粗仿宋" w:eastAsia="彩虹粗仿宋" w:hAnsi="宋体"/>
          <w:noProof/>
          <w:sz w:val="28"/>
        </w:rPr>
      </w:pPr>
      <w:r>
        <w:rPr>
          <w:rFonts w:ascii="彩虹粗仿宋" w:eastAsia="彩虹粗仿宋" w:hAnsi="宋体" w:hint="eastAsia"/>
          <w:sz w:val="28"/>
        </w:rPr>
        <w:fldChar w:fldCharType="begin"/>
      </w:r>
      <w:r>
        <w:rPr>
          <w:rFonts w:ascii="彩虹粗仿宋" w:eastAsia="彩虹粗仿宋" w:hAnsi="宋体" w:hint="eastAsia"/>
          <w:sz w:val="28"/>
        </w:rPr>
        <w:instrText xml:space="preserve"> TOC \o "1-2" \h \z </w:instrText>
      </w:r>
      <w:r>
        <w:rPr>
          <w:rFonts w:ascii="彩虹粗仿宋" w:eastAsia="彩虹粗仿宋" w:hAnsi="宋体" w:hint="eastAsia"/>
          <w:sz w:val="28"/>
        </w:rPr>
        <w:fldChar w:fldCharType="separate"/>
      </w:r>
      <w:hyperlink w:anchor="_Toc124325885" w:history="1">
        <w:r>
          <w:rPr>
            <w:rStyle w:val="af9"/>
            <w:rFonts w:ascii="彩虹粗仿宋" w:eastAsia="彩虹粗仿宋" w:hAnsi="宋体" w:hint="eastAsia"/>
            <w:noProof/>
            <w:sz w:val="28"/>
            <w:szCs w:val="32"/>
          </w:rPr>
          <w:t>一、基金托管协议当事人</w:t>
        </w:r>
        <w:r>
          <w:rPr>
            <w:rFonts w:ascii="彩虹粗仿宋" w:eastAsia="彩虹粗仿宋" w:hAnsi="宋体" w:hint="eastAsia"/>
            <w:noProof/>
            <w:sz w:val="28"/>
          </w:rPr>
          <w:tab/>
        </w:r>
        <w:r>
          <w:rPr>
            <w:rFonts w:ascii="彩虹粗仿宋" w:eastAsia="彩虹粗仿宋" w:hAnsi="宋体" w:hint="eastAsia"/>
            <w:noProof/>
            <w:sz w:val="28"/>
          </w:rPr>
          <w:fldChar w:fldCharType="begin"/>
        </w:r>
        <w:r>
          <w:rPr>
            <w:rFonts w:ascii="彩虹粗仿宋" w:eastAsia="彩虹粗仿宋" w:hAnsi="宋体" w:hint="eastAsia"/>
            <w:noProof/>
            <w:sz w:val="28"/>
          </w:rPr>
          <w:instrText xml:space="preserve"> PAGEREF _Toc124325885 \h </w:instrText>
        </w:r>
        <w:r>
          <w:rPr>
            <w:rFonts w:ascii="彩虹粗仿宋" w:eastAsia="彩虹粗仿宋" w:hAnsi="宋体" w:hint="eastAsia"/>
            <w:noProof/>
            <w:sz w:val="28"/>
          </w:rPr>
        </w:r>
        <w:r>
          <w:rPr>
            <w:rFonts w:ascii="彩虹粗仿宋" w:eastAsia="彩虹粗仿宋" w:hAnsi="宋体" w:hint="eastAsia"/>
            <w:noProof/>
            <w:sz w:val="28"/>
          </w:rPr>
          <w:fldChar w:fldCharType="separate"/>
        </w:r>
        <w:r w:rsidR="007A72B6">
          <w:rPr>
            <w:rFonts w:ascii="彩虹粗仿宋" w:eastAsia="彩虹粗仿宋" w:hAnsi="宋体"/>
            <w:noProof/>
            <w:sz w:val="28"/>
          </w:rPr>
          <w:t>3</w:t>
        </w:r>
        <w:r>
          <w:rPr>
            <w:rFonts w:ascii="彩虹粗仿宋" w:eastAsia="彩虹粗仿宋" w:hAnsi="宋体" w:hint="eastAsia"/>
            <w:noProof/>
            <w:sz w:val="28"/>
          </w:rPr>
          <w:fldChar w:fldCharType="end"/>
        </w:r>
      </w:hyperlink>
    </w:p>
    <w:p w14:paraId="1B7A78ED" w14:textId="77777777" w:rsidR="00E77209" w:rsidRDefault="00BE7DC1">
      <w:pPr>
        <w:pStyle w:val="23"/>
        <w:tabs>
          <w:tab w:val="right" w:leader="dot" w:pos="8494"/>
        </w:tabs>
        <w:rPr>
          <w:rFonts w:ascii="彩虹粗仿宋" w:eastAsia="彩虹粗仿宋" w:hAnsi="宋体"/>
          <w:noProof/>
          <w:sz w:val="28"/>
        </w:rPr>
      </w:pPr>
      <w:hyperlink w:anchor="_Toc124325886" w:history="1">
        <w:r w:rsidR="009B3274">
          <w:rPr>
            <w:rStyle w:val="af9"/>
            <w:rFonts w:ascii="彩虹粗仿宋" w:eastAsia="彩虹粗仿宋" w:hAnsi="宋体" w:hint="eastAsia"/>
            <w:noProof/>
            <w:sz w:val="28"/>
            <w:szCs w:val="32"/>
          </w:rPr>
          <w:t>二、基金托管协议的依据、目的和原则</w:t>
        </w:r>
        <w:r w:rsidR="009B3274">
          <w:rPr>
            <w:rFonts w:ascii="彩虹粗仿宋" w:eastAsia="彩虹粗仿宋" w:hAnsi="宋体" w:hint="eastAsia"/>
            <w:noProof/>
            <w:sz w:val="28"/>
          </w:rPr>
          <w:tab/>
        </w:r>
        <w:r w:rsidR="009B3274">
          <w:rPr>
            <w:rFonts w:ascii="彩虹粗仿宋" w:eastAsia="彩虹粗仿宋" w:hAnsi="宋体" w:hint="eastAsia"/>
            <w:noProof/>
            <w:sz w:val="28"/>
          </w:rPr>
          <w:fldChar w:fldCharType="begin"/>
        </w:r>
        <w:r w:rsidR="009B3274">
          <w:rPr>
            <w:rFonts w:ascii="彩虹粗仿宋" w:eastAsia="彩虹粗仿宋" w:hAnsi="宋体" w:hint="eastAsia"/>
            <w:noProof/>
            <w:sz w:val="28"/>
          </w:rPr>
          <w:instrText xml:space="preserve"> PAGEREF _Toc124325886 \h </w:instrText>
        </w:r>
        <w:r w:rsidR="009B3274">
          <w:rPr>
            <w:rFonts w:ascii="彩虹粗仿宋" w:eastAsia="彩虹粗仿宋" w:hAnsi="宋体" w:hint="eastAsia"/>
            <w:noProof/>
            <w:sz w:val="28"/>
          </w:rPr>
        </w:r>
        <w:r w:rsidR="009B3274">
          <w:rPr>
            <w:rFonts w:ascii="彩虹粗仿宋" w:eastAsia="彩虹粗仿宋" w:hAnsi="宋体" w:hint="eastAsia"/>
            <w:noProof/>
            <w:sz w:val="28"/>
          </w:rPr>
          <w:fldChar w:fldCharType="separate"/>
        </w:r>
        <w:r w:rsidR="007A72B6">
          <w:rPr>
            <w:rFonts w:ascii="彩虹粗仿宋" w:eastAsia="彩虹粗仿宋" w:hAnsi="宋体"/>
            <w:noProof/>
            <w:sz w:val="28"/>
          </w:rPr>
          <w:t>4</w:t>
        </w:r>
        <w:r w:rsidR="009B3274">
          <w:rPr>
            <w:rFonts w:ascii="彩虹粗仿宋" w:eastAsia="彩虹粗仿宋" w:hAnsi="宋体" w:hint="eastAsia"/>
            <w:noProof/>
            <w:sz w:val="28"/>
          </w:rPr>
          <w:fldChar w:fldCharType="end"/>
        </w:r>
      </w:hyperlink>
    </w:p>
    <w:p w14:paraId="447DEBBF" w14:textId="511287E1" w:rsidR="00E77209" w:rsidRDefault="00BE7DC1">
      <w:pPr>
        <w:pStyle w:val="23"/>
        <w:tabs>
          <w:tab w:val="right" w:leader="dot" w:pos="8494"/>
        </w:tabs>
        <w:rPr>
          <w:rFonts w:ascii="彩虹粗仿宋" w:eastAsia="彩虹粗仿宋" w:hAnsi="宋体"/>
          <w:noProof/>
          <w:sz w:val="28"/>
        </w:rPr>
      </w:pPr>
      <w:hyperlink w:anchor="_Toc124325887" w:history="1">
        <w:r w:rsidR="009B3274">
          <w:rPr>
            <w:rStyle w:val="af9"/>
            <w:rFonts w:ascii="彩虹粗仿宋" w:eastAsia="彩虹粗仿宋" w:hAnsi="宋体" w:hint="eastAsia"/>
            <w:noProof/>
            <w:sz w:val="28"/>
            <w:szCs w:val="32"/>
          </w:rPr>
          <w:t>三、基金托管人对基金管理人的业务监督和核查</w:t>
        </w:r>
        <w:r w:rsidR="009B3274">
          <w:rPr>
            <w:rFonts w:ascii="彩虹粗仿宋" w:eastAsia="彩虹粗仿宋" w:hAnsi="宋体" w:hint="eastAsia"/>
            <w:noProof/>
            <w:sz w:val="28"/>
          </w:rPr>
          <w:tab/>
        </w:r>
        <w:r w:rsidR="009B3274">
          <w:rPr>
            <w:rFonts w:ascii="彩虹粗仿宋" w:eastAsia="彩虹粗仿宋" w:hAnsi="宋体" w:hint="eastAsia"/>
            <w:noProof/>
            <w:sz w:val="28"/>
          </w:rPr>
          <w:fldChar w:fldCharType="begin"/>
        </w:r>
        <w:r w:rsidR="009B3274">
          <w:rPr>
            <w:rFonts w:ascii="彩虹粗仿宋" w:eastAsia="彩虹粗仿宋" w:hAnsi="宋体" w:hint="eastAsia"/>
            <w:noProof/>
            <w:sz w:val="28"/>
          </w:rPr>
          <w:instrText xml:space="preserve"> PAGEREF _Toc124325887 \h </w:instrText>
        </w:r>
        <w:r w:rsidR="009B3274">
          <w:rPr>
            <w:rFonts w:ascii="彩虹粗仿宋" w:eastAsia="彩虹粗仿宋" w:hAnsi="宋体" w:hint="eastAsia"/>
            <w:noProof/>
            <w:sz w:val="28"/>
          </w:rPr>
        </w:r>
        <w:r w:rsidR="009B3274">
          <w:rPr>
            <w:rFonts w:ascii="彩虹粗仿宋" w:eastAsia="彩虹粗仿宋" w:hAnsi="宋体" w:hint="eastAsia"/>
            <w:noProof/>
            <w:sz w:val="28"/>
          </w:rPr>
          <w:fldChar w:fldCharType="separate"/>
        </w:r>
        <w:r w:rsidR="007A72B6">
          <w:rPr>
            <w:rFonts w:ascii="彩虹粗仿宋" w:eastAsia="彩虹粗仿宋" w:hAnsi="宋体"/>
            <w:noProof/>
            <w:sz w:val="28"/>
          </w:rPr>
          <w:t>5</w:t>
        </w:r>
        <w:r w:rsidR="009B3274">
          <w:rPr>
            <w:rFonts w:ascii="彩虹粗仿宋" w:eastAsia="彩虹粗仿宋" w:hAnsi="宋体" w:hint="eastAsia"/>
            <w:noProof/>
            <w:sz w:val="28"/>
          </w:rPr>
          <w:fldChar w:fldCharType="end"/>
        </w:r>
      </w:hyperlink>
    </w:p>
    <w:p w14:paraId="2DC9DB73" w14:textId="4EF3ACB0" w:rsidR="00E77209" w:rsidRDefault="00BE7DC1">
      <w:pPr>
        <w:pStyle w:val="23"/>
        <w:tabs>
          <w:tab w:val="right" w:leader="dot" w:pos="8494"/>
        </w:tabs>
        <w:rPr>
          <w:rFonts w:ascii="彩虹粗仿宋" w:eastAsia="彩虹粗仿宋" w:hAnsi="宋体"/>
          <w:noProof/>
          <w:sz w:val="28"/>
        </w:rPr>
      </w:pPr>
      <w:hyperlink w:anchor="_Toc124325888" w:history="1">
        <w:r w:rsidR="009B3274">
          <w:rPr>
            <w:rStyle w:val="af9"/>
            <w:rFonts w:ascii="彩虹粗仿宋" w:eastAsia="彩虹粗仿宋" w:hAnsi="宋体" w:hint="eastAsia"/>
            <w:noProof/>
            <w:sz w:val="28"/>
            <w:szCs w:val="32"/>
          </w:rPr>
          <w:t>四、基金管理人对基金托管人的业务核查</w:t>
        </w:r>
        <w:r w:rsidR="009B3274">
          <w:rPr>
            <w:rFonts w:ascii="彩虹粗仿宋" w:eastAsia="彩虹粗仿宋" w:hAnsi="宋体" w:hint="eastAsia"/>
            <w:noProof/>
            <w:sz w:val="28"/>
          </w:rPr>
          <w:tab/>
        </w:r>
        <w:r w:rsidR="009B3274">
          <w:rPr>
            <w:rFonts w:ascii="彩虹粗仿宋" w:eastAsia="彩虹粗仿宋" w:hAnsi="宋体" w:hint="eastAsia"/>
            <w:noProof/>
            <w:sz w:val="28"/>
          </w:rPr>
          <w:fldChar w:fldCharType="begin"/>
        </w:r>
        <w:r w:rsidR="009B3274">
          <w:rPr>
            <w:rFonts w:ascii="彩虹粗仿宋" w:eastAsia="彩虹粗仿宋" w:hAnsi="宋体" w:hint="eastAsia"/>
            <w:noProof/>
            <w:sz w:val="28"/>
          </w:rPr>
          <w:instrText xml:space="preserve"> PAGEREF _Toc124325888 \h </w:instrText>
        </w:r>
        <w:r w:rsidR="009B3274">
          <w:rPr>
            <w:rFonts w:ascii="彩虹粗仿宋" w:eastAsia="彩虹粗仿宋" w:hAnsi="宋体" w:hint="eastAsia"/>
            <w:noProof/>
            <w:sz w:val="28"/>
          </w:rPr>
        </w:r>
        <w:r w:rsidR="009B3274">
          <w:rPr>
            <w:rFonts w:ascii="彩虹粗仿宋" w:eastAsia="彩虹粗仿宋" w:hAnsi="宋体" w:hint="eastAsia"/>
            <w:noProof/>
            <w:sz w:val="28"/>
          </w:rPr>
          <w:fldChar w:fldCharType="separate"/>
        </w:r>
        <w:r w:rsidR="007A72B6">
          <w:rPr>
            <w:rFonts w:ascii="彩虹粗仿宋" w:eastAsia="彩虹粗仿宋" w:hAnsi="宋体"/>
            <w:noProof/>
            <w:sz w:val="28"/>
          </w:rPr>
          <w:t>11</w:t>
        </w:r>
        <w:r w:rsidR="009B3274">
          <w:rPr>
            <w:rFonts w:ascii="彩虹粗仿宋" w:eastAsia="彩虹粗仿宋" w:hAnsi="宋体" w:hint="eastAsia"/>
            <w:noProof/>
            <w:sz w:val="28"/>
          </w:rPr>
          <w:fldChar w:fldCharType="end"/>
        </w:r>
      </w:hyperlink>
    </w:p>
    <w:p w14:paraId="33F4952F" w14:textId="77777777" w:rsidR="00E77209" w:rsidRDefault="00BE7DC1">
      <w:pPr>
        <w:pStyle w:val="23"/>
        <w:tabs>
          <w:tab w:val="right" w:leader="dot" w:pos="8494"/>
        </w:tabs>
        <w:rPr>
          <w:rFonts w:ascii="彩虹粗仿宋" w:eastAsia="彩虹粗仿宋" w:hAnsi="宋体"/>
          <w:noProof/>
          <w:sz w:val="28"/>
        </w:rPr>
      </w:pPr>
      <w:hyperlink w:anchor="_Toc124325889" w:history="1">
        <w:r w:rsidR="009B3274">
          <w:rPr>
            <w:rStyle w:val="af9"/>
            <w:rFonts w:ascii="彩虹粗仿宋" w:eastAsia="彩虹粗仿宋" w:hAnsi="宋体" w:hint="eastAsia"/>
            <w:noProof/>
            <w:sz w:val="28"/>
            <w:szCs w:val="32"/>
          </w:rPr>
          <w:t>五、基金财产的保管</w:t>
        </w:r>
        <w:r w:rsidR="009B3274">
          <w:rPr>
            <w:rFonts w:ascii="彩虹粗仿宋" w:eastAsia="彩虹粗仿宋" w:hAnsi="宋体" w:hint="eastAsia"/>
            <w:noProof/>
            <w:sz w:val="28"/>
          </w:rPr>
          <w:tab/>
        </w:r>
        <w:r w:rsidR="009B3274">
          <w:rPr>
            <w:rFonts w:ascii="彩虹粗仿宋" w:eastAsia="彩虹粗仿宋" w:hAnsi="宋体" w:hint="eastAsia"/>
            <w:noProof/>
            <w:sz w:val="28"/>
          </w:rPr>
          <w:fldChar w:fldCharType="begin"/>
        </w:r>
        <w:r w:rsidR="009B3274">
          <w:rPr>
            <w:rFonts w:ascii="彩虹粗仿宋" w:eastAsia="彩虹粗仿宋" w:hAnsi="宋体" w:hint="eastAsia"/>
            <w:noProof/>
            <w:sz w:val="28"/>
          </w:rPr>
          <w:instrText xml:space="preserve"> PAGEREF _Toc124325889 \h </w:instrText>
        </w:r>
        <w:r w:rsidR="009B3274">
          <w:rPr>
            <w:rFonts w:ascii="彩虹粗仿宋" w:eastAsia="彩虹粗仿宋" w:hAnsi="宋体" w:hint="eastAsia"/>
            <w:noProof/>
            <w:sz w:val="28"/>
          </w:rPr>
        </w:r>
        <w:r w:rsidR="009B3274">
          <w:rPr>
            <w:rFonts w:ascii="彩虹粗仿宋" w:eastAsia="彩虹粗仿宋" w:hAnsi="宋体" w:hint="eastAsia"/>
            <w:noProof/>
            <w:sz w:val="28"/>
          </w:rPr>
          <w:fldChar w:fldCharType="separate"/>
        </w:r>
        <w:r w:rsidR="007A72B6">
          <w:rPr>
            <w:rFonts w:ascii="彩虹粗仿宋" w:eastAsia="彩虹粗仿宋" w:hAnsi="宋体"/>
            <w:noProof/>
            <w:sz w:val="28"/>
          </w:rPr>
          <w:t>12</w:t>
        </w:r>
        <w:r w:rsidR="009B3274">
          <w:rPr>
            <w:rFonts w:ascii="彩虹粗仿宋" w:eastAsia="彩虹粗仿宋" w:hAnsi="宋体" w:hint="eastAsia"/>
            <w:noProof/>
            <w:sz w:val="28"/>
          </w:rPr>
          <w:fldChar w:fldCharType="end"/>
        </w:r>
      </w:hyperlink>
    </w:p>
    <w:p w14:paraId="490BEDB6" w14:textId="7534AFA1" w:rsidR="00E77209" w:rsidRDefault="00BE7DC1">
      <w:pPr>
        <w:pStyle w:val="23"/>
        <w:tabs>
          <w:tab w:val="right" w:leader="dot" w:pos="8494"/>
        </w:tabs>
        <w:rPr>
          <w:rFonts w:ascii="彩虹粗仿宋" w:eastAsia="彩虹粗仿宋" w:hAnsi="宋体"/>
          <w:noProof/>
          <w:sz w:val="28"/>
        </w:rPr>
      </w:pPr>
      <w:hyperlink w:anchor="_Toc124325890" w:history="1">
        <w:r w:rsidR="009B3274">
          <w:rPr>
            <w:rStyle w:val="af9"/>
            <w:rFonts w:ascii="彩虹粗仿宋" w:eastAsia="彩虹粗仿宋" w:hAnsi="宋体" w:hint="eastAsia"/>
            <w:noProof/>
            <w:sz w:val="28"/>
            <w:szCs w:val="32"/>
          </w:rPr>
          <w:t>六、指令的发送、确认及执行</w:t>
        </w:r>
        <w:r w:rsidR="009B3274">
          <w:rPr>
            <w:rFonts w:ascii="彩虹粗仿宋" w:eastAsia="彩虹粗仿宋" w:hAnsi="宋体" w:hint="eastAsia"/>
            <w:noProof/>
            <w:sz w:val="28"/>
          </w:rPr>
          <w:tab/>
        </w:r>
        <w:r w:rsidR="009B3274">
          <w:rPr>
            <w:rFonts w:ascii="彩虹粗仿宋" w:eastAsia="彩虹粗仿宋" w:hAnsi="宋体" w:hint="eastAsia"/>
            <w:noProof/>
            <w:sz w:val="28"/>
          </w:rPr>
          <w:fldChar w:fldCharType="begin"/>
        </w:r>
        <w:r w:rsidR="009B3274">
          <w:rPr>
            <w:rFonts w:ascii="彩虹粗仿宋" w:eastAsia="彩虹粗仿宋" w:hAnsi="宋体" w:hint="eastAsia"/>
            <w:noProof/>
            <w:sz w:val="28"/>
          </w:rPr>
          <w:instrText xml:space="preserve"> PAGEREF _Toc124325890 \h </w:instrText>
        </w:r>
        <w:r w:rsidR="009B3274">
          <w:rPr>
            <w:rFonts w:ascii="彩虹粗仿宋" w:eastAsia="彩虹粗仿宋" w:hAnsi="宋体" w:hint="eastAsia"/>
            <w:noProof/>
            <w:sz w:val="28"/>
          </w:rPr>
        </w:r>
        <w:r w:rsidR="009B3274">
          <w:rPr>
            <w:rFonts w:ascii="彩虹粗仿宋" w:eastAsia="彩虹粗仿宋" w:hAnsi="宋体" w:hint="eastAsia"/>
            <w:noProof/>
            <w:sz w:val="28"/>
          </w:rPr>
          <w:fldChar w:fldCharType="separate"/>
        </w:r>
        <w:r w:rsidR="007A72B6">
          <w:rPr>
            <w:rFonts w:ascii="彩虹粗仿宋" w:eastAsia="彩虹粗仿宋" w:hAnsi="宋体"/>
            <w:noProof/>
            <w:sz w:val="28"/>
          </w:rPr>
          <w:t>15</w:t>
        </w:r>
        <w:r w:rsidR="009B3274">
          <w:rPr>
            <w:rFonts w:ascii="彩虹粗仿宋" w:eastAsia="彩虹粗仿宋" w:hAnsi="宋体" w:hint="eastAsia"/>
            <w:noProof/>
            <w:sz w:val="28"/>
          </w:rPr>
          <w:fldChar w:fldCharType="end"/>
        </w:r>
      </w:hyperlink>
    </w:p>
    <w:p w14:paraId="69AB3D73" w14:textId="0142AF93" w:rsidR="00E77209" w:rsidRDefault="00BE7DC1">
      <w:pPr>
        <w:pStyle w:val="23"/>
        <w:tabs>
          <w:tab w:val="right" w:leader="dot" w:pos="8494"/>
        </w:tabs>
        <w:rPr>
          <w:rFonts w:ascii="彩虹粗仿宋" w:eastAsia="彩虹粗仿宋" w:hAnsi="宋体"/>
          <w:noProof/>
          <w:sz w:val="28"/>
        </w:rPr>
      </w:pPr>
      <w:hyperlink w:anchor="_Toc124325891" w:history="1">
        <w:r w:rsidR="009B3274">
          <w:rPr>
            <w:rStyle w:val="af9"/>
            <w:rFonts w:ascii="彩虹粗仿宋" w:eastAsia="彩虹粗仿宋" w:hAnsi="宋体" w:hint="eastAsia"/>
            <w:noProof/>
            <w:sz w:val="28"/>
            <w:szCs w:val="32"/>
          </w:rPr>
          <w:t>七、交易及清算交收安排</w:t>
        </w:r>
        <w:r w:rsidR="009B3274">
          <w:rPr>
            <w:rFonts w:ascii="彩虹粗仿宋" w:eastAsia="彩虹粗仿宋" w:hAnsi="宋体" w:hint="eastAsia"/>
            <w:noProof/>
            <w:sz w:val="28"/>
          </w:rPr>
          <w:tab/>
        </w:r>
        <w:r w:rsidR="009B3274">
          <w:rPr>
            <w:rFonts w:ascii="彩虹粗仿宋" w:eastAsia="彩虹粗仿宋" w:hAnsi="宋体" w:hint="eastAsia"/>
            <w:noProof/>
            <w:sz w:val="28"/>
          </w:rPr>
          <w:fldChar w:fldCharType="begin"/>
        </w:r>
        <w:r w:rsidR="009B3274">
          <w:rPr>
            <w:rFonts w:ascii="彩虹粗仿宋" w:eastAsia="彩虹粗仿宋" w:hAnsi="宋体" w:hint="eastAsia"/>
            <w:noProof/>
            <w:sz w:val="28"/>
          </w:rPr>
          <w:instrText xml:space="preserve"> PAGEREF _Toc124325891 \h </w:instrText>
        </w:r>
        <w:r w:rsidR="009B3274">
          <w:rPr>
            <w:rFonts w:ascii="彩虹粗仿宋" w:eastAsia="彩虹粗仿宋" w:hAnsi="宋体" w:hint="eastAsia"/>
            <w:noProof/>
            <w:sz w:val="28"/>
          </w:rPr>
        </w:r>
        <w:r w:rsidR="009B3274">
          <w:rPr>
            <w:rFonts w:ascii="彩虹粗仿宋" w:eastAsia="彩虹粗仿宋" w:hAnsi="宋体" w:hint="eastAsia"/>
            <w:noProof/>
            <w:sz w:val="28"/>
          </w:rPr>
          <w:fldChar w:fldCharType="separate"/>
        </w:r>
        <w:r w:rsidR="007A72B6">
          <w:rPr>
            <w:rFonts w:ascii="彩虹粗仿宋" w:eastAsia="彩虹粗仿宋" w:hAnsi="宋体"/>
            <w:noProof/>
            <w:sz w:val="28"/>
          </w:rPr>
          <w:t>17</w:t>
        </w:r>
        <w:r w:rsidR="009B3274">
          <w:rPr>
            <w:rFonts w:ascii="彩虹粗仿宋" w:eastAsia="彩虹粗仿宋" w:hAnsi="宋体" w:hint="eastAsia"/>
            <w:noProof/>
            <w:sz w:val="28"/>
          </w:rPr>
          <w:fldChar w:fldCharType="end"/>
        </w:r>
      </w:hyperlink>
    </w:p>
    <w:p w14:paraId="696158EA" w14:textId="77777777" w:rsidR="00E77209" w:rsidRDefault="00BE7DC1">
      <w:pPr>
        <w:pStyle w:val="23"/>
        <w:tabs>
          <w:tab w:val="right" w:leader="dot" w:pos="8494"/>
        </w:tabs>
        <w:rPr>
          <w:rFonts w:ascii="彩虹粗仿宋" w:eastAsia="彩虹粗仿宋" w:hAnsi="宋体"/>
          <w:noProof/>
          <w:sz w:val="28"/>
        </w:rPr>
      </w:pPr>
      <w:hyperlink w:anchor="_Toc124325892" w:history="1">
        <w:r w:rsidR="009B3274">
          <w:rPr>
            <w:rStyle w:val="af9"/>
            <w:rFonts w:ascii="彩虹粗仿宋" w:eastAsia="彩虹粗仿宋" w:hAnsi="宋体" w:hint="eastAsia"/>
            <w:noProof/>
            <w:sz w:val="28"/>
            <w:szCs w:val="32"/>
          </w:rPr>
          <w:t>八、基金资产净值计算和会计核算</w:t>
        </w:r>
        <w:r w:rsidR="009B3274">
          <w:rPr>
            <w:rFonts w:ascii="彩虹粗仿宋" w:eastAsia="彩虹粗仿宋" w:hAnsi="宋体" w:hint="eastAsia"/>
            <w:noProof/>
            <w:sz w:val="28"/>
          </w:rPr>
          <w:tab/>
        </w:r>
        <w:r w:rsidR="009B3274">
          <w:rPr>
            <w:rFonts w:ascii="彩虹粗仿宋" w:eastAsia="彩虹粗仿宋" w:hAnsi="宋体" w:hint="eastAsia"/>
            <w:noProof/>
            <w:sz w:val="28"/>
          </w:rPr>
          <w:fldChar w:fldCharType="begin"/>
        </w:r>
        <w:r w:rsidR="009B3274">
          <w:rPr>
            <w:rFonts w:ascii="彩虹粗仿宋" w:eastAsia="彩虹粗仿宋" w:hAnsi="宋体" w:hint="eastAsia"/>
            <w:noProof/>
            <w:sz w:val="28"/>
          </w:rPr>
          <w:instrText xml:space="preserve"> PAGEREF _Toc124325892 \h </w:instrText>
        </w:r>
        <w:r w:rsidR="009B3274">
          <w:rPr>
            <w:rFonts w:ascii="彩虹粗仿宋" w:eastAsia="彩虹粗仿宋" w:hAnsi="宋体" w:hint="eastAsia"/>
            <w:noProof/>
            <w:sz w:val="28"/>
          </w:rPr>
        </w:r>
        <w:r w:rsidR="009B3274">
          <w:rPr>
            <w:rFonts w:ascii="彩虹粗仿宋" w:eastAsia="彩虹粗仿宋" w:hAnsi="宋体" w:hint="eastAsia"/>
            <w:noProof/>
            <w:sz w:val="28"/>
          </w:rPr>
          <w:fldChar w:fldCharType="separate"/>
        </w:r>
        <w:r w:rsidR="007A72B6">
          <w:rPr>
            <w:rFonts w:ascii="彩虹粗仿宋" w:eastAsia="彩虹粗仿宋" w:hAnsi="宋体"/>
            <w:noProof/>
            <w:sz w:val="28"/>
          </w:rPr>
          <w:t>22</w:t>
        </w:r>
        <w:r w:rsidR="009B3274">
          <w:rPr>
            <w:rFonts w:ascii="彩虹粗仿宋" w:eastAsia="彩虹粗仿宋" w:hAnsi="宋体" w:hint="eastAsia"/>
            <w:noProof/>
            <w:sz w:val="28"/>
          </w:rPr>
          <w:fldChar w:fldCharType="end"/>
        </w:r>
      </w:hyperlink>
    </w:p>
    <w:p w14:paraId="569CF7AD" w14:textId="76564615" w:rsidR="00E77209" w:rsidRDefault="00BE7DC1">
      <w:pPr>
        <w:pStyle w:val="23"/>
        <w:tabs>
          <w:tab w:val="right" w:leader="dot" w:pos="8494"/>
        </w:tabs>
        <w:rPr>
          <w:rFonts w:ascii="彩虹粗仿宋" w:eastAsia="彩虹粗仿宋" w:hAnsi="宋体"/>
          <w:noProof/>
          <w:sz w:val="28"/>
        </w:rPr>
      </w:pPr>
      <w:hyperlink w:anchor="_Toc124325893" w:history="1">
        <w:r w:rsidR="009B3274">
          <w:rPr>
            <w:rStyle w:val="af9"/>
            <w:rFonts w:ascii="彩虹粗仿宋" w:eastAsia="彩虹粗仿宋" w:hAnsi="宋体" w:hint="eastAsia"/>
            <w:noProof/>
            <w:sz w:val="28"/>
            <w:szCs w:val="32"/>
          </w:rPr>
          <w:t>九、基金收益分配</w:t>
        </w:r>
        <w:r w:rsidR="009B3274">
          <w:rPr>
            <w:rFonts w:ascii="彩虹粗仿宋" w:eastAsia="彩虹粗仿宋" w:hAnsi="宋体" w:hint="eastAsia"/>
            <w:noProof/>
            <w:sz w:val="28"/>
          </w:rPr>
          <w:tab/>
        </w:r>
        <w:r w:rsidR="009B3274">
          <w:rPr>
            <w:rFonts w:ascii="彩虹粗仿宋" w:eastAsia="彩虹粗仿宋" w:hAnsi="宋体" w:hint="eastAsia"/>
            <w:noProof/>
            <w:sz w:val="28"/>
          </w:rPr>
          <w:fldChar w:fldCharType="begin"/>
        </w:r>
        <w:r w:rsidR="009B3274">
          <w:rPr>
            <w:rFonts w:ascii="彩虹粗仿宋" w:eastAsia="彩虹粗仿宋" w:hAnsi="宋体" w:hint="eastAsia"/>
            <w:noProof/>
            <w:sz w:val="28"/>
          </w:rPr>
          <w:instrText xml:space="preserve"> PAGEREF _Toc124325893 \h </w:instrText>
        </w:r>
        <w:r w:rsidR="009B3274">
          <w:rPr>
            <w:rFonts w:ascii="彩虹粗仿宋" w:eastAsia="彩虹粗仿宋" w:hAnsi="宋体" w:hint="eastAsia"/>
            <w:noProof/>
            <w:sz w:val="28"/>
          </w:rPr>
        </w:r>
        <w:r w:rsidR="009B3274">
          <w:rPr>
            <w:rFonts w:ascii="彩虹粗仿宋" w:eastAsia="彩虹粗仿宋" w:hAnsi="宋体" w:hint="eastAsia"/>
            <w:noProof/>
            <w:sz w:val="28"/>
          </w:rPr>
          <w:fldChar w:fldCharType="separate"/>
        </w:r>
        <w:r w:rsidR="007A72B6">
          <w:rPr>
            <w:rFonts w:ascii="彩虹粗仿宋" w:eastAsia="彩虹粗仿宋" w:hAnsi="宋体"/>
            <w:noProof/>
            <w:sz w:val="28"/>
          </w:rPr>
          <w:t>28</w:t>
        </w:r>
        <w:r w:rsidR="009B3274">
          <w:rPr>
            <w:rFonts w:ascii="彩虹粗仿宋" w:eastAsia="彩虹粗仿宋" w:hAnsi="宋体" w:hint="eastAsia"/>
            <w:noProof/>
            <w:sz w:val="28"/>
          </w:rPr>
          <w:fldChar w:fldCharType="end"/>
        </w:r>
      </w:hyperlink>
    </w:p>
    <w:p w14:paraId="5ED68C8D" w14:textId="66CB8FDC" w:rsidR="00E77209" w:rsidRDefault="00BE7DC1">
      <w:pPr>
        <w:pStyle w:val="23"/>
        <w:tabs>
          <w:tab w:val="right" w:leader="dot" w:pos="8494"/>
        </w:tabs>
        <w:rPr>
          <w:rFonts w:ascii="彩虹粗仿宋" w:eastAsia="彩虹粗仿宋" w:hAnsi="宋体"/>
          <w:noProof/>
          <w:sz w:val="28"/>
        </w:rPr>
      </w:pPr>
      <w:hyperlink w:anchor="_Toc124325894" w:history="1">
        <w:r w:rsidR="009B3274">
          <w:rPr>
            <w:rStyle w:val="af9"/>
            <w:rFonts w:ascii="彩虹粗仿宋" w:eastAsia="彩虹粗仿宋" w:hAnsi="宋体" w:hint="eastAsia"/>
            <w:noProof/>
            <w:sz w:val="28"/>
            <w:szCs w:val="32"/>
          </w:rPr>
          <w:t>十、基金信息披露</w:t>
        </w:r>
        <w:r w:rsidR="009B3274">
          <w:rPr>
            <w:rFonts w:ascii="彩虹粗仿宋" w:eastAsia="彩虹粗仿宋" w:hAnsi="宋体" w:hint="eastAsia"/>
            <w:noProof/>
            <w:sz w:val="28"/>
          </w:rPr>
          <w:tab/>
        </w:r>
        <w:r w:rsidR="009B3274">
          <w:rPr>
            <w:rFonts w:ascii="彩虹粗仿宋" w:eastAsia="彩虹粗仿宋" w:hAnsi="宋体" w:hint="eastAsia"/>
            <w:noProof/>
            <w:sz w:val="28"/>
          </w:rPr>
          <w:fldChar w:fldCharType="begin"/>
        </w:r>
        <w:r w:rsidR="009B3274">
          <w:rPr>
            <w:rFonts w:ascii="彩虹粗仿宋" w:eastAsia="彩虹粗仿宋" w:hAnsi="宋体" w:hint="eastAsia"/>
            <w:noProof/>
            <w:sz w:val="28"/>
          </w:rPr>
          <w:instrText xml:space="preserve"> PAGEREF _Toc124325894 \h </w:instrText>
        </w:r>
        <w:r w:rsidR="009B3274">
          <w:rPr>
            <w:rFonts w:ascii="彩虹粗仿宋" w:eastAsia="彩虹粗仿宋" w:hAnsi="宋体" w:hint="eastAsia"/>
            <w:noProof/>
            <w:sz w:val="28"/>
          </w:rPr>
        </w:r>
        <w:r w:rsidR="009B3274">
          <w:rPr>
            <w:rFonts w:ascii="彩虹粗仿宋" w:eastAsia="彩虹粗仿宋" w:hAnsi="宋体" w:hint="eastAsia"/>
            <w:noProof/>
            <w:sz w:val="28"/>
          </w:rPr>
          <w:fldChar w:fldCharType="separate"/>
        </w:r>
        <w:r w:rsidR="007A72B6">
          <w:rPr>
            <w:rFonts w:ascii="彩虹粗仿宋" w:eastAsia="彩虹粗仿宋" w:hAnsi="宋体"/>
            <w:noProof/>
            <w:sz w:val="28"/>
          </w:rPr>
          <w:t>29</w:t>
        </w:r>
        <w:r w:rsidR="009B3274">
          <w:rPr>
            <w:rFonts w:ascii="彩虹粗仿宋" w:eastAsia="彩虹粗仿宋" w:hAnsi="宋体" w:hint="eastAsia"/>
            <w:noProof/>
            <w:sz w:val="28"/>
          </w:rPr>
          <w:fldChar w:fldCharType="end"/>
        </w:r>
      </w:hyperlink>
    </w:p>
    <w:p w14:paraId="67DADBDB" w14:textId="77777777" w:rsidR="00E77209" w:rsidRDefault="00BE7DC1">
      <w:pPr>
        <w:pStyle w:val="23"/>
        <w:tabs>
          <w:tab w:val="right" w:leader="dot" w:pos="8494"/>
        </w:tabs>
        <w:rPr>
          <w:rFonts w:ascii="彩虹粗仿宋" w:eastAsia="彩虹粗仿宋" w:hAnsi="宋体"/>
          <w:noProof/>
          <w:sz w:val="28"/>
        </w:rPr>
      </w:pPr>
      <w:hyperlink w:anchor="_Toc124325895" w:history="1">
        <w:r w:rsidR="009B3274">
          <w:rPr>
            <w:rStyle w:val="af9"/>
            <w:rFonts w:ascii="彩虹粗仿宋" w:eastAsia="彩虹粗仿宋" w:hAnsi="宋体" w:hint="eastAsia"/>
            <w:noProof/>
            <w:sz w:val="28"/>
            <w:szCs w:val="32"/>
          </w:rPr>
          <w:t>十一、基金费用</w:t>
        </w:r>
        <w:r w:rsidR="009B3274">
          <w:rPr>
            <w:rFonts w:ascii="彩虹粗仿宋" w:eastAsia="彩虹粗仿宋" w:hAnsi="宋体" w:hint="eastAsia"/>
            <w:noProof/>
            <w:sz w:val="28"/>
          </w:rPr>
          <w:tab/>
        </w:r>
        <w:r w:rsidR="009B3274">
          <w:rPr>
            <w:rFonts w:ascii="彩虹粗仿宋" w:eastAsia="彩虹粗仿宋" w:hAnsi="宋体" w:hint="eastAsia"/>
            <w:noProof/>
            <w:sz w:val="28"/>
          </w:rPr>
          <w:fldChar w:fldCharType="begin"/>
        </w:r>
        <w:r w:rsidR="009B3274">
          <w:rPr>
            <w:rFonts w:ascii="彩虹粗仿宋" w:eastAsia="彩虹粗仿宋" w:hAnsi="宋体" w:hint="eastAsia"/>
            <w:noProof/>
            <w:sz w:val="28"/>
          </w:rPr>
          <w:instrText xml:space="preserve"> PAGEREF _Toc124325895 \h </w:instrText>
        </w:r>
        <w:r w:rsidR="009B3274">
          <w:rPr>
            <w:rFonts w:ascii="彩虹粗仿宋" w:eastAsia="彩虹粗仿宋" w:hAnsi="宋体" w:hint="eastAsia"/>
            <w:noProof/>
            <w:sz w:val="28"/>
          </w:rPr>
        </w:r>
        <w:r w:rsidR="009B3274">
          <w:rPr>
            <w:rFonts w:ascii="彩虹粗仿宋" w:eastAsia="彩虹粗仿宋" w:hAnsi="宋体" w:hint="eastAsia"/>
            <w:noProof/>
            <w:sz w:val="28"/>
          </w:rPr>
          <w:fldChar w:fldCharType="separate"/>
        </w:r>
        <w:r w:rsidR="007A72B6">
          <w:rPr>
            <w:rFonts w:ascii="彩虹粗仿宋" w:eastAsia="彩虹粗仿宋" w:hAnsi="宋体"/>
            <w:noProof/>
            <w:sz w:val="28"/>
          </w:rPr>
          <w:t>31</w:t>
        </w:r>
        <w:r w:rsidR="009B3274">
          <w:rPr>
            <w:rFonts w:ascii="彩虹粗仿宋" w:eastAsia="彩虹粗仿宋" w:hAnsi="宋体" w:hint="eastAsia"/>
            <w:noProof/>
            <w:sz w:val="28"/>
          </w:rPr>
          <w:fldChar w:fldCharType="end"/>
        </w:r>
      </w:hyperlink>
    </w:p>
    <w:p w14:paraId="52314A35" w14:textId="2A5AD672" w:rsidR="00E77209" w:rsidRDefault="00BE7DC1">
      <w:pPr>
        <w:pStyle w:val="23"/>
        <w:tabs>
          <w:tab w:val="right" w:leader="dot" w:pos="8494"/>
        </w:tabs>
        <w:rPr>
          <w:rFonts w:ascii="彩虹粗仿宋" w:eastAsia="彩虹粗仿宋" w:hAnsi="宋体"/>
          <w:noProof/>
          <w:sz w:val="28"/>
        </w:rPr>
      </w:pPr>
      <w:hyperlink w:anchor="_Toc124325896" w:history="1">
        <w:r w:rsidR="009B3274">
          <w:rPr>
            <w:rStyle w:val="af9"/>
            <w:rFonts w:ascii="彩虹粗仿宋" w:eastAsia="彩虹粗仿宋" w:hAnsi="宋体" w:hint="eastAsia"/>
            <w:noProof/>
            <w:sz w:val="28"/>
            <w:szCs w:val="32"/>
          </w:rPr>
          <w:t>十二、基金份额持有人名册的保管</w:t>
        </w:r>
        <w:r w:rsidR="009B3274">
          <w:rPr>
            <w:rFonts w:ascii="彩虹粗仿宋" w:eastAsia="彩虹粗仿宋" w:hAnsi="宋体" w:hint="eastAsia"/>
            <w:noProof/>
            <w:sz w:val="28"/>
          </w:rPr>
          <w:tab/>
        </w:r>
        <w:r w:rsidR="009B3274">
          <w:rPr>
            <w:rFonts w:ascii="彩虹粗仿宋" w:eastAsia="彩虹粗仿宋" w:hAnsi="宋体" w:hint="eastAsia"/>
            <w:noProof/>
            <w:sz w:val="28"/>
          </w:rPr>
          <w:fldChar w:fldCharType="begin"/>
        </w:r>
        <w:r w:rsidR="009B3274">
          <w:rPr>
            <w:rFonts w:ascii="彩虹粗仿宋" w:eastAsia="彩虹粗仿宋" w:hAnsi="宋体" w:hint="eastAsia"/>
            <w:noProof/>
            <w:sz w:val="28"/>
          </w:rPr>
          <w:instrText xml:space="preserve"> PAGEREF _Toc124325896 \h </w:instrText>
        </w:r>
        <w:r w:rsidR="009B3274">
          <w:rPr>
            <w:rFonts w:ascii="彩虹粗仿宋" w:eastAsia="彩虹粗仿宋" w:hAnsi="宋体" w:hint="eastAsia"/>
            <w:noProof/>
            <w:sz w:val="28"/>
          </w:rPr>
        </w:r>
        <w:r w:rsidR="009B3274">
          <w:rPr>
            <w:rFonts w:ascii="彩虹粗仿宋" w:eastAsia="彩虹粗仿宋" w:hAnsi="宋体" w:hint="eastAsia"/>
            <w:noProof/>
            <w:sz w:val="28"/>
          </w:rPr>
          <w:fldChar w:fldCharType="separate"/>
        </w:r>
        <w:r w:rsidR="007A72B6">
          <w:rPr>
            <w:rFonts w:ascii="彩虹粗仿宋" w:eastAsia="彩虹粗仿宋" w:hAnsi="宋体"/>
            <w:noProof/>
            <w:sz w:val="28"/>
          </w:rPr>
          <w:t>36</w:t>
        </w:r>
        <w:r w:rsidR="009B3274">
          <w:rPr>
            <w:rFonts w:ascii="彩虹粗仿宋" w:eastAsia="彩虹粗仿宋" w:hAnsi="宋体" w:hint="eastAsia"/>
            <w:noProof/>
            <w:sz w:val="28"/>
          </w:rPr>
          <w:fldChar w:fldCharType="end"/>
        </w:r>
      </w:hyperlink>
    </w:p>
    <w:p w14:paraId="47F8B170" w14:textId="79E19FFD" w:rsidR="00E77209" w:rsidRDefault="00BE7DC1">
      <w:pPr>
        <w:pStyle w:val="23"/>
        <w:tabs>
          <w:tab w:val="right" w:leader="dot" w:pos="8494"/>
        </w:tabs>
        <w:rPr>
          <w:rFonts w:ascii="彩虹粗仿宋" w:eastAsia="彩虹粗仿宋" w:hAnsi="宋体"/>
          <w:noProof/>
          <w:sz w:val="28"/>
        </w:rPr>
      </w:pPr>
      <w:hyperlink w:anchor="_Toc124325897" w:history="1">
        <w:r w:rsidR="009B3274">
          <w:rPr>
            <w:rStyle w:val="af9"/>
            <w:rFonts w:ascii="彩虹粗仿宋" w:eastAsia="彩虹粗仿宋" w:hAnsi="宋体" w:hint="eastAsia"/>
            <w:noProof/>
            <w:sz w:val="28"/>
            <w:szCs w:val="32"/>
          </w:rPr>
          <w:t>十三、基金有关文件档案的保存</w:t>
        </w:r>
        <w:r w:rsidR="009B3274">
          <w:rPr>
            <w:rFonts w:ascii="彩虹粗仿宋" w:eastAsia="彩虹粗仿宋" w:hAnsi="宋体" w:hint="eastAsia"/>
            <w:noProof/>
            <w:sz w:val="28"/>
          </w:rPr>
          <w:tab/>
        </w:r>
        <w:r w:rsidR="009B3274">
          <w:rPr>
            <w:rFonts w:ascii="彩虹粗仿宋" w:eastAsia="彩虹粗仿宋" w:hAnsi="宋体" w:hint="eastAsia"/>
            <w:noProof/>
            <w:sz w:val="28"/>
          </w:rPr>
          <w:fldChar w:fldCharType="begin"/>
        </w:r>
        <w:r w:rsidR="009B3274">
          <w:rPr>
            <w:rFonts w:ascii="彩虹粗仿宋" w:eastAsia="彩虹粗仿宋" w:hAnsi="宋体" w:hint="eastAsia"/>
            <w:noProof/>
            <w:sz w:val="28"/>
          </w:rPr>
          <w:instrText xml:space="preserve"> PAGEREF _Toc124325897 \h </w:instrText>
        </w:r>
        <w:r w:rsidR="009B3274">
          <w:rPr>
            <w:rFonts w:ascii="彩虹粗仿宋" w:eastAsia="彩虹粗仿宋" w:hAnsi="宋体" w:hint="eastAsia"/>
            <w:noProof/>
            <w:sz w:val="28"/>
          </w:rPr>
        </w:r>
        <w:r w:rsidR="009B3274">
          <w:rPr>
            <w:rFonts w:ascii="彩虹粗仿宋" w:eastAsia="彩虹粗仿宋" w:hAnsi="宋体" w:hint="eastAsia"/>
            <w:noProof/>
            <w:sz w:val="28"/>
          </w:rPr>
          <w:fldChar w:fldCharType="separate"/>
        </w:r>
        <w:r w:rsidR="007A72B6">
          <w:rPr>
            <w:rFonts w:ascii="彩虹粗仿宋" w:eastAsia="彩虹粗仿宋" w:hAnsi="宋体"/>
            <w:noProof/>
            <w:sz w:val="28"/>
          </w:rPr>
          <w:t>36</w:t>
        </w:r>
        <w:r w:rsidR="009B3274">
          <w:rPr>
            <w:rFonts w:ascii="彩虹粗仿宋" w:eastAsia="彩虹粗仿宋" w:hAnsi="宋体" w:hint="eastAsia"/>
            <w:noProof/>
            <w:sz w:val="28"/>
          </w:rPr>
          <w:fldChar w:fldCharType="end"/>
        </w:r>
      </w:hyperlink>
    </w:p>
    <w:p w14:paraId="2ABBFBE4" w14:textId="77777777" w:rsidR="00E77209" w:rsidRDefault="00BE7DC1">
      <w:pPr>
        <w:pStyle w:val="23"/>
        <w:tabs>
          <w:tab w:val="right" w:leader="dot" w:pos="8494"/>
        </w:tabs>
        <w:rPr>
          <w:rFonts w:ascii="彩虹粗仿宋" w:eastAsia="彩虹粗仿宋" w:hAnsi="宋体"/>
          <w:noProof/>
          <w:sz w:val="28"/>
        </w:rPr>
      </w:pPr>
      <w:hyperlink w:anchor="_Toc124325898" w:history="1">
        <w:r w:rsidR="009B3274">
          <w:rPr>
            <w:rStyle w:val="af9"/>
            <w:rFonts w:ascii="彩虹粗仿宋" w:eastAsia="彩虹粗仿宋" w:hAnsi="宋体" w:hint="eastAsia"/>
            <w:noProof/>
            <w:sz w:val="28"/>
            <w:szCs w:val="32"/>
          </w:rPr>
          <w:t>十四、基金管理人和基金托管人的更换</w:t>
        </w:r>
        <w:r w:rsidR="009B3274">
          <w:rPr>
            <w:rFonts w:ascii="彩虹粗仿宋" w:eastAsia="彩虹粗仿宋" w:hAnsi="宋体" w:hint="eastAsia"/>
            <w:noProof/>
            <w:sz w:val="28"/>
          </w:rPr>
          <w:tab/>
        </w:r>
        <w:r w:rsidR="009B3274">
          <w:rPr>
            <w:rFonts w:ascii="彩虹粗仿宋" w:eastAsia="彩虹粗仿宋" w:hAnsi="宋体" w:hint="eastAsia"/>
            <w:noProof/>
            <w:sz w:val="28"/>
          </w:rPr>
          <w:fldChar w:fldCharType="begin"/>
        </w:r>
        <w:r w:rsidR="009B3274">
          <w:rPr>
            <w:rFonts w:ascii="彩虹粗仿宋" w:eastAsia="彩虹粗仿宋" w:hAnsi="宋体" w:hint="eastAsia"/>
            <w:noProof/>
            <w:sz w:val="28"/>
          </w:rPr>
          <w:instrText xml:space="preserve"> PAGEREF _Toc124325898 \h </w:instrText>
        </w:r>
        <w:r w:rsidR="009B3274">
          <w:rPr>
            <w:rFonts w:ascii="彩虹粗仿宋" w:eastAsia="彩虹粗仿宋" w:hAnsi="宋体" w:hint="eastAsia"/>
            <w:noProof/>
            <w:sz w:val="28"/>
          </w:rPr>
        </w:r>
        <w:r w:rsidR="009B3274">
          <w:rPr>
            <w:rFonts w:ascii="彩虹粗仿宋" w:eastAsia="彩虹粗仿宋" w:hAnsi="宋体" w:hint="eastAsia"/>
            <w:noProof/>
            <w:sz w:val="28"/>
          </w:rPr>
          <w:fldChar w:fldCharType="separate"/>
        </w:r>
        <w:r w:rsidR="007A72B6">
          <w:rPr>
            <w:rFonts w:ascii="彩虹粗仿宋" w:eastAsia="彩虹粗仿宋" w:hAnsi="宋体"/>
            <w:noProof/>
            <w:sz w:val="28"/>
          </w:rPr>
          <w:t>36</w:t>
        </w:r>
        <w:r w:rsidR="009B3274">
          <w:rPr>
            <w:rFonts w:ascii="彩虹粗仿宋" w:eastAsia="彩虹粗仿宋" w:hAnsi="宋体" w:hint="eastAsia"/>
            <w:noProof/>
            <w:sz w:val="28"/>
          </w:rPr>
          <w:fldChar w:fldCharType="end"/>
        </w:r>
      </w:hyperlink>
    </w:p>
    <w:p w14:paraId="08BB2A61" w14:textId="5FC39F2D" w:rsidR="00E77209" w:rsidRDefault="00BE7DC1">
      <w:pPr>
        <w:pStyle w:val="23"/>
        <w:tabs>
          <w:tab w:val="right" w:leader="dot" w:pos="8494"/>
        </w:tabs>
        <w:rPr>
          <w:rFonts w:ascii="彩虹粗仿宋" w:eastAsia="彩虹粗仿宋" w:hAnsi="宋体"/>
          <w:noProof/>
          <w:sz w:val="28"/>
        </w:rPr>
      </w:pPr>
      <w:hyperlink w:anchor="_Toc124325899" w:history="1">
        <w:r w:rsidR="009B3274">
          <w:rPr>
            <w:rStyle w:val="af9"/>
            <w:rFonts w:ascii="彩虹粗仿宋" w:eastAsia="彩虹粗仿宋" w:hAnsi="宋体" w:hint="eastAsia"/>
            <w:noProof/>
            <w:sz w:val="28"/>
            <w:szCs w:val="32"/>
          </w:rPr>
          <w:t>十五、禁止行为</w:t>
        </w:r>
        <w:r w:rsidR="009B3274">
          <w:rPr>
            <w:rFonts w:ascii="彩虹粗仿宋" w:eastAsia="彩虹粗仿宋" w:hAnsi="宋体" w:hint="eastAsia"/>
            <w:noProof/>
            <w:sz w:val="28"/>
          </w:rPr>
          <w:tab/>
        </w:r>
        <w:r w:rsidR="009B3274">
          <w:rPr>
            <w:rFonts w:ascii="彩虹粗仿宋" w:eastAsia="彩虹粗仿宋" w:hAnsi="宋体" w:hint="eastAsia"/>
            <w:noProof/>
            <w:sz w:val="28"/>
          </w:rPr>
          <w:fldChar w:fldCharType="begin"/>
        </w:r>
        <w:r w:rsidR="009B3274">
          <w:rPr>
            <w:rFonts w:ascii="彩虹粗仿宋" w:eastAsia="彩虹粗仿宋" w:hAnsi="宋体" w:hint="eastAsia"/>
            <w:noProof/>
            <w:sz w:val="28"/>
          </w:rPr>
          <w:instrText xml:space="preserve"> PAGEREF _Toc124325899 \h </w:instrText>
        </w:r>
        <w:r w:rsidR="009B3274">
          <w:rPr>
            <w:rFonts w:ascii="彩虹粗仿宋" w:eastAsia="彩虹粗仿宋" w:hAnsi="宋体" w:hint="eastAsia"/>
            <w:noProof/>
            <w:sz w:val="28"/>
          </w:rPr>
        </w:r>
        <w:r w:rsidR="009B3274">
          <w:rPr>
            <w:rFonts w:ascii="彩虹粗仿宋" w:eastAsia="彩虹粗仿宋" w:hAnsi="宋体" w:hint="eastAsia"/>
            <w:noProof/>
            <w:sz w:val="28"/>
          </w:rPr>
          <w:fldChar w:fldCharType="separate"/>
        </w:r>
        <w:r w:rsidR="007A72B6">
          <w:rPr>
            <w:rFonts w:ascii="彩虹粗仿宋" w:eastAsia="彩虹粗仿宋" w:hAnsi="宋体"/>
            <w:noProof/>
            <w:sz w:val="28"/>
          </w:rPr>
          <w:t>39</w:t>
        </w:r>
        <w:r w:rsidR="009B3274">
          <w:rPr>
            <w:rFonts w:ascii="彩虹粗仿宋" w:eastAsia="彩虹粗仿宋" w:hAnsi="宋体" w:hint="eastAsia"/>
            <w:noProof/>
            <w:sz w:val="28"/>
          </w:rPr>
          <w:fldChar w:fldCharType="end"/>
        </w:r>
      </w:hyperlink>
    </w:p>
    <w:p w14:paraId="0F5588D5" w14:textId="77777777" w:rsidR="00E77209" w:rsidRDefault="00BE7DC1">
      <w:pPr>
        <w:pStyle w:val="23"/>
        <w:tabs>
          <w:tab w:val="right" w:leader="dot" w:pos="8494"/>
        </w:tabs>
        <w:rPr>
          <w:rFonts w:ascii="彩虹粗仿宋" w:eastAsia="彩虹粗仿宋" w:hAnsi="宋体"/>
          <w:noProof/>
          <w:sz w:val="28"/>
        </w:rPr>
      </w:pPr>
      <w:hyperlink w:anchor="_Toc124325900" w:history="1">
        <w:r w:rsidR="009B3274">
          <w:rPr>
            <w:rStyle w:val="af9"/>
            <w:rFonts w:ascii="彩虹粗仿宋" w:eastAsia="彩虹粗仿宋" w:hAnsi="宋体" w:hint="eastAsia"/>
            <w:noProof/>
            <w:sz w:val="28"/>
            <w:szCs w:val="32"/>
          </w:rPr>
          <w:t>十六、托管协议的变更、终止与基金财产的清算</w:t>
        </w:r>
        <w:r w:rsidR="009B3274">
          <w:rPr>
            <w:rFonts w:ascii="彩虹粗仿宋" w:eastAsia="彩虹粗仿宋" w:hAnsi="宋体" w:hint="eastAsia"/>
            <w:noProof/>
            <w:sz w:val="28"/>
          </w:rPr>
          <w:tab/>
        </w:r>
        <w:r w:rsidR="009B3274">
          <w:rPr>
            <w:rFonts w:ascii="彩虹粗仿宋" w:eastAsia="彩虹粗仿宋" w:hAnsi="宋体" w:hint="eastAsia"/>
            <w:noProof/>
            <w:sz w:val="28"/>
          </w:rPr>
          <w:fldChar w:fldCharType="begin"/>
        </w:r>
        <w:r w:rsidR="009B3274">
          <w:rPr>
            <w:rFonts w:ascii="彩虹粗仿宋" w:eastAsia="彩虹粗仿宋" w:hAnsi="宋体" w:hint="eastAsia"/>
            <w:noProof/>
            <w:sz w:val="28"/>
          </w:rPr>
          <w:instrText xml:space="preserve"> PAGEREF _Toc124325900 \h </w:instrText>
        </w:r>
        <w:r w:rsidR="009B3274">
          <w:rPr>
            <w:rFonts w:ascii="彩虹粗仿宋" w:eastAsia="彩虹粗仿宋" w:hAnsi="宋体" w:hint="eastAsia"/>
            <w:noProof/>
            <w:sz w:val="28"/>
          </w:rPr>
        </w:r>
        <w:r w:rsidR="009B3274">
          <w:rPr>
            <w:rFonts w:ascii="彩虹粗仿宋" w:eastAsia="彩虹粗仿宋" w:hAnsi="宋体" w:hint="eastAsia"/>
            <w:noProof/>
            <w:sz w:val="28"/>
          </w:rPr>
          <w:fldChar w:fldCharType="separate"/>
        </w:r>
        <w:r w:rsidR="007A72B6">
          <w:rPr>
            <w:rFonts w:ascii="彩虹粗仿宋" w:eastAsia="彩虹粗仿宋" w:hAnsi="宋体"/>
            <w:noProof/>
            <w:sz w:val="28"/>
          </w:rPr>
          <w:t>40</w:t>
        </w:r>
        <w:r w:rsidR="009B3274">
          <w:rPr>
            <w:rFonts w:ascii="彩虹粗仿宋" w:eastAsia="彩虹粗仿宋" w:hAnsi="宋体" w:hint="eastAsia"/>
            <w:noProof/>
            <w:sz w:val="28"/>
          </w:rPr>
          <w:fldChar w:fldCharType="end"/>
        </w:r>
      </w:hyperlink>
    </w:p>
    <w:p w14:paraId="5F6F12B1" w14:textId="6EBE5B56" w:rsidR="00E77209" w:rsidRDefault="00BE7DC1">
      <w:pPr>
        <w:pStyle w:val="23"/>
        <w:tabs>
          <w:tab w:val="right" w:leader="dot" w:pos="8494"/>
        </w:tabs>
        <w:rPr>
          <w:rFonts w:ascii="彩虹粗仿宋" w:eastAsia="彩虹粗仿宋" w:hAnsi="宋体"/>
          <w:noProof/>
          <w:sz w:val="28"/>
        </w:rPr>
      </w:pPr>
      <w:hyperlink w:anchor="_Toc124325901" w:history="1">
        <w:r w:rsidR="009B3274">
          <w:rPr>
            <w:rStyle w:val="af9"/>
            <w:rFonts w:ascii="彩虹粗仿宋" w:eastAsia="彩虹粗仿宋" w:hAnsi="宋体" w:hint="eastAsia"/>
            <w:noProof/>
            <w:sz w:val="28"/>
            <w:szCs w:val="32"/>
          </w:rPr>
          <w:t>十七、违约责任</w:t>
        </w:r>
        <w:r w:rsidR="009B3274">
          <w:rPr>
            <w:rFonts w:ascii="彩虹粗仿宋" w:eastAsia="彩虹粗仿宋" w:hAnsi="宋体" w:hint="eastAsia"/>
            <w:noProof/>
            <w:sz w:val="28"/>
          </w:rPr>
          <w:tab/>
        </w:r>
        <w:r w:rsidR="009B3274">
          <w:rPr>
            <w:rFonts w:ascii="彩虹粗仿宋" w:eastAsia="彩虹粗仿宋" w:hAnsi="宋体" w:hint="eastAsia"/>
            <w:noProof/>
            <w:sz w:val="28"/>
          </w:rPr>
          <w:fldChar w:fldCharType="begin"/>
        </w:r>
        <w:r w:rsidR="009B3274">
          <w:rPr>
            <w:rFonts w:ascii="彩虹粗仿宋" w:eastAsia="彩虹粗仿宋" w:hAnsi="宋体" w:hint="eastAsia"/>
            <w:noProof/>
            <w:sz w:val="28"/>
          </w:rPr>
          <w:instrText xml:space="preserve"> PAGEREF _Toc124325901 \h </w:instrText>
        </w:r>
        <w:r w:rsidR="009B3274">
          <w:rPr>
            <w:rFonts w:ascii="彩虹粗仿宋" w:eastAsia="彩虹粗仿宋" w:hAnsi="宋体" w:hint="eastAsia"/>
            <w:noProof/>
            <w:sz w:val="28"/>
          </w:rPr>
        </w:r>
        <w:r w:rsidR="009B3274">
          <w:rPr>
            <w:rFonts w:ascii="彩虹粗仿宋" w:eastAsia="彩虹粗仿宋" w:hAnsi="宋体" w:hint="eastAsia"/>
            <w:noProof/>
            <w:sz w:val="28"/>
          </w:rPr>
          <w:fldChar w:fldCharType="separate"/>
        </w:r>
        <w:r w:rsidR="007A72B6">
          <w:rPr>
            <w:rFonts w:ascii="彩虹粗仿宋" w:eastAsia="彩虹粗仿宋" w:hAnsi="宋体"/>
            <w:noProof/>
            <w:sz w:val="28"/>
          </w:rPr>
          <w:t>41</w:t>
        </w:r>
        <w:r w:rsidR="009B3274">
          <w:rPr>
            <w:rFonts w:ascii="彩虹粗仿宋" w:eastAsia="彩虹粗仿宋" w:hAnsi="宋体" w:hint="eastAsia"/>
            <w:noProof/>
            <w:sz w:val="28"/>
          </w:rPr>
          <w:fldChar w:fldCharType="end"/>
        </w:r>
      </w:hyperlink>
    </w:p>
    <w:p w14:paraId="432CFCCC" w14:textId="17C2D1DA" w:rsidR="00E77209" w:rsidRDefault="00BE7DC1">
      <w:pPr>
        <w:pStyle w:val="23"/>
        <w:tabs>
          <w:tab w:val="right" w:leader="dot" w:pos="8494"/>
        </w:tabs>
        <w:rPr>
          <w:rFonts w:ascii="彩虹粗仿宋" w:eastAsia="彩虹粗仿宋" w:hAnsi="宋体"/>
          <w:noProof/>
          <w:sz w:val="28"/>
        </w:rPr>
      </w:pPr>
      <w:hyperlink w:anchor="_Toc124325902" w:history="1">
        <w:r w:rsidR="009B3274">
          <w:rPr>
            <w:rStyle w:val="af9"/>
            <w:rFonts w:ascii="彩虹粗仿宋" w:eastAsia="彩虹粗仿宋" w:hAnsi="宋体" w:hint="eastAsia"/>
            <w:noProof/>
            <w:sz w:val="28"/>
            <w:szCs w:val="32"/>
          </w:rPr>
          <w:t>十八、争议解决方式</w:t>
        </w:r>
        <w:r w:rsidR="009B3274">
          <w:rPr>
            <w:rFonts w:ascii="彩虹粗仿宋" w:eastAsia="彩虹粗仿宋" w:hAnsi="宋体" w:hint="eastAsia"/>
            <w:noProof/>
            <w:sz w:val="28"/>
          </w:rPr>
          <w:tab/>
        </w:r>
        <w:r w:rsidR="009B3274">
          <w:rPr>
            <w:rFonts w:ascii="彩虹粗仿宋" w:eastAsia="彩虹粗仿宋" w:hAnsi="宋体" w:hint="eastAsia"/>
            <w:noProof/>
            <w:sz w:val="28"/>
          </w:rPr>
          <w:fldChar w:fldCharType="begin"/>
        </w:r>
        <w:r w:rsidR="009B3274">
          <w:rPr>
            <w:rFonts w:ascii="彩虹粗仿宋" w:eastAsia="彩虹粗仿宋" w:hAnsi="宋体" w:hint="eastAsia"/>
            <w:noProof/>
            <w:sz w:val="28"/>
          </w:rPr>
          <w:instrText xml:space="preserve"> PAGEREF _Toc124325902 \h </w:instrText>
        </w:r>
        <w:r w:rsidR="009B3274">
          <w:rPr>
            <w:rFonts w:ascii="彩虹粗仿宋" w:eastAsia="彩虹粗仿宋" w:hAnsi="宋体" w:hint="eastAsia"/>
            <w:noProof/>
            <w:sz w:val="28"/>
          </w:rPr>
        </w:r>
        <w:r w:rsidR="009B3274">
          <w:rPr>
            <w:rFonts w:ascii="彩虹粗仿宋" w:eastAsia="彩虹粗仿宋" w:hAnsi="宋体" w:hint="eastAsia"/>
            <w:noProof/>
            <w:sz w:val="28"/>
          </w:rPr>
          <w:fldChar w:fldCharType="separate"/>
        </w:r>
        <w:r w:rsidR="007A72B6">
          <w:rPr>
            <w:rFonts w:ascii="彩虹粗仿宋" w:eastAsia="彩虹粗仿宋" w:hAnsi="宋体"/>
            <w:noProof/>
            <w:sz w:val="28"/>
          </w:rPr>
          <w:t>42</w:t>
        </w:r>
        <w:r w:rsidR="009B3274">
          <w:rPr>
            <w:rFonts w:ascii="彩虹粗仿宋" w:eastAsia="彩虹粗仿宋" w:hAnsi="宋体" w:hint="eastAsia"/>
            <w:noProof/>
            <w:sz w:val="28"/>
          </w:rPr>
          <w:fldChar w:fldCharType="end"/>
        </w:r>
      </w:hyperlink>
    </w:p>
    <w:p w14:paraId="2FEAF88D" w14:textId="27F96958" w:rsidR="00E77209" w:rsidRDefault="00BE7DC1">
      <w:pPr>
        <w:pStyle w:val="23"/>
        <w:tabs>
          <w:tab w:val="right" w:leader="dot" w:pos="8494"/>
        </w:tabs>
        <w:rPr>
          <w:rFonts w:ascii="彩虹粗仿宋" w:eastAsia="彩虹粗仿宋" w:hAnsi="宋体"/>
          <w:noProof/>
          <w:sz w:val="28"/>
        </w:rPr>
      </w:pPr>
      <w:hyperlink w:anchor="_Toc124325903" w:history="1">
        <w:r w:rsidR="009B3274">
          <w:rPr>
            <w:rStyle w:val="af9"/>
            <w:rFonts w:ascii="彩虹粗仿宋" w:eastAsia="彩虹粗仿宋" w:hAnsi="宋体" w:hint="eastAsia"/>
            <w:noProof/>
            <w:sz w:val="28"/>
            <w:szCs w:val="32"/>
          </w:rPr>
          <w:t>十九、托管协议的效力</w:t>
        </w:r>
        <w:r w:rsidR="009B3274">
          <w:rPr>
            <w:rFonts w:ascii="彩虹粗仿宋" w:eastAsia="彩虹粗仿宋" w:hAnsi="宋体" w:hint="eastAsia"/>
            <w:noProof/>
            <w:sz w:val="28"/>
          </w:rPr>
          <w:tab/>
        </w:r>
        <w:r w:rsidR="009B3274">
          <w:rPr>
            <w:rFonts w:ascii="彩虹粗仿宋" w:eastAsia="彩虹粗仿宋" w:hAnsi="宋体" w:hint="eastAsia"/>
            <w:noProof/>
            <w:sz w:val="28"/>
          </w:rPr>
          <w:fldChar w:fldCharType="begin"/>
        </w:r>
        <w:r w:rsidR="009B3274">
          <w:rPr>
            <w:rFonts w:ascii="彩虹粗仿宋" w:eastAsia="彩虹粗仿宋" w:hAnsi="宋体" w:hint="eastAsia"/>
            <w:noProof/>
            <w:sz w:val="28"/>
          </w:rPr>
          <w:instrText xml:space="preserve"> PAGEREF _Toc124325903 \h </w:instrText>
        </w:r>
        <w:r w:rsidR="009B3274">
          <w:rPr>
            <w:rFonts w:ascii="彩虹粗仿宋" w:eastAsia="彩虹粗仿宋" w:hAnsi="宋体" w:hint="eastAsia"/>
            <w:noProof/>
            <w:sz w:val="28"/>
          </w:rPr>
        </w:r>
        <w:r w:rsidR="009B3274">
          <w:rPr>
            <w:rFonts w:ascii="彩虹粗仿宋" w:eastAsia="彩虹粗仿宋" w:hAnsi="宋体" w:hint="eastAsia"/>
            <w:noProof/>
            <w:sz w:val="28"/>
          </w:rPr>
          <w:fldChar w:fldCharType="separate"/>
        </w:r>
        <w:r w:rsidR="007A72B6">
          <w:rPr>
            <w:rFonts w:ascii="彩虹粗仿宋" w:eastAsia="彩虹粗仿宋" w:hAnsi="宋体"/>
            <w:noProof/>
            <w:sz w:val="28"/>
          </w:rPr>
          <w:t>43</w:t>
        </w:r>
        <w:r w:rsidR="009B3274">
          <w:rPr>
            <w:rFonts w:ascii="彩虹粗仿宋" w:eastAsia="彩虹粗仿宋" w:hAnsi="宋体" w:hint="eastAsia"/>
            <w:noProof/>
            <w:sz w:val="28"/>
          </w:rPr>
          <w:fldChar w:fldCharType="end"/>
        </w:r>
      </w:hyperlink>
    </w:p>
    <w:p w14:paraId="644DF5EA" w14:textId="264B23F2" w:rsidR="00E77209" w:rsidRDefault="00BE7DC1">
      <w:pPr>
        <w:pStyle w:val="23"/>
        <w:tabs>
          <w:tab w:val="right" w:leader="dot" w:pos="8494"/>
        </w:tabs>
        <w:rPr>
          <w:rFonts w:ascii="彩虹粗仿宋" w:eastAsia="彩虹粗仿宋" w:hAnsi="宋体"/>
          <w:noProof/>
          <w:sz w:val="28"/>
        </w:rPr>
      </w:pPr>
      <w:hyperlink w:anchor="_Toc124325904" w:history="1">
        <w:r w:rsidR="009B3274">
          <w:rPr>
            <w:rStyle w:val="af9"/>
            <w:rFonts w:ascii="彩虹粗仿宋" w:eastAsia="彩虹粗仿宋" w:hAnsi="宋体" w:hint="eastAsia"/>
            <w:noProof/>
            <w:sz w:val="28"/>
            <w:szCs w:val="32"/>
          </w:rPr>
          <w:t>二十、其他事项</w:t>
        </w:r>
        <w:r w:rsidR="009B3274">
          <w:rPr>
            <w:rFonts w:ascii="彩虹粗仿宋" w:eastAsia="彩虹粗仿宋" w:hAnsi="宋体" w:hint="eastAsia"/>
            <w:noProof/>
            <w:sz w:val="28"/>
          </w:rPr>
          <w:tab/>
        </w:r>
        <w:r w:rsidR="009B3274">
          <w:rPr>
            <w:rFonts w:ascii="彩虹粗仿宋" w:eastAsia="彩虹粗仿宋" w:hAnsi="宋体" w:hint="eastAsia"/>
            <w:noProof/>
            <w:sz w:val="28"/>
          </w:rPr>
          <w:fldChar w:fldCharType="begin"/>
        </w:r>
        <w:r w:rsidR="009B3274">
          <w:rPr>
            <w:rFonts w:ascii="彩虹粗仿宋" w:eastAsia="彩虹粗仿宋" w:hAnsi="宋体" w:hint="eastAsia"/>
            <w:noProof/>
            <w:sz w:val="28"/>
          </w:rPr>
          <w:instrText xml:space="preserve"> PAGEREF _Toc124325904 \h </w:instrText>
        </w:r>
        <w:r w:rsidR="009B3274">
          <w:rPr>
            <w:rFonts w:ascii="彩虹粗仿宋" w:eastAsia="彩虹粗仿宋" w:hAnsi="宋体" w:hint="eastAsia"/>
            <w:noProof/>
            <w:sz w:val="28"/>
          </w:rPr>
        </w:r>
        <w:r w:rsidR="009B3274">
          <w:rPr>
            <w:rFonts w:ascii="彩虹粗仿宋" w:eastAsia="彩虹粗仿宋" w:hAnsi="宋体" w:hint="eastAsia"/>
            <w:noProof/>
            <w:sz w:val="28"/>
          </w:rPr>
          <w:fldChar w:fldCharType="separate"/>
        </w:r>
        <w:r w:rsidR="007A72B6">
          <w:rPr>
            <w:rFonts w:ascii="彩虹粗仿宋" w:eastAsia="彩虹粗仿宋" w:hAnsi="宋体"/>
            <w:noProof/>
            <w:sz w:val="28"/>
          </w:rPr>
          <w:t>43</w:t>
        </w:r>
        <w:r w:rsidR="009B3274">
          <w:rPr>
            <w:rFonts w:ascii="彩虹粗仿宋" w:eastAsia="彩虹粗仿宋" w:hAnsi="宋体" w:hint="eastAsia"/>
            <w:noProof/>
            <w:sz w:val="28"/>
          </w:rPr>
          <w:fldChar w:fldCharType="end"/>
        </w:r>
      </w:hyperlink>
    </w:p>
    <w:p w14:paraId="1DDFF0CB" w14:textId="2BAEBFA0" w:rsidR="00E77209" w:rsidRDefault="00BE7DC1">
      <w:pPr>
        <w:pStyle w:val="23"/>
        <w:tabs>
          <w:tab w:val="right" w:leader="dot" w:pos="8494"/>
        </w:tabs>
        <w:rPr>
          <w:rFonts w:ascii="彩虹粗仿宋" w:eastAsia="彩虹粗仿宋" w:hAnsi="宋体"/>
          <w:noProof/>
          <w:sz w:val="28"/>
        </w:rPr>
      </w:pPr>
      <w:hyperlink w:anchor="_Toc124325905" w:history="1">
        <w:r w:rsidR="009B3274">
          <w:rPr>
            <w:rStyle w:val="af9"/>
            <w:rFonts w:ascii="彩虹粗仿宋" w:eastAsia="彩虹粗仿宋" w:hAnsi="宋体" w:hint="eastAsia"/>
            <w:noProof/>
            <w:sz w:val="28"/>
            <w:szCs w:val="32"/>
          </w:rPr>
          <w:t>二十一、托管协议的签订</w:t>
        </w:r>
        <w:r w:rsidR="009B3274">
          <w:rPr>
            <w:rFonts w:ascii="彩虹粗仿宋" w:eastAsia="彩虹粗仿宋" w:hAnsi="宋体" w:hint="eastAsia"/>
            <w:noProof/>
            <w:sz w:val="28"/>
          </w:rPr>
          <w:tab/>
        </w:r>
        <w:r w:rsidR="009B3274">
          <w:rPr>
            <w:rFonts w:ascii="彩虹粗仿宋" w:eastAsia="彩虹粗仿宋" w:hAnsi="宋体" w:hint="eastAsia"/>
            <w:noProof/>
            <w:sz w:val="28"/>
          </w:rPr>
          <w:fldChar w:fldCharType="begin"/>
        </w:r>
        <w:r w:rsidR="009B3274">
          <w:rPr>
            <w:rFonts w:ascii="彩虹粗仿宋" w:eastAsia="彩虹粗仿宋" w:hAnsi="宋体" w:hint="eastAsia"/>
            <w:noProof/>
            <w:sz w:val="28"/>
          </w:rPr>
          <w:instrText xml:space="preserve"> PAGEREF _Toc124325905 \h </w:instrText>
        </w:r>
        <w:r w:rsidR="009B3274">
          <w:rPr>
            <w:rFonts w:ascii="彩虹粗仿宋" w:eastAsia="彩虹粗仿宋" w:hAnsi="宋体" w:hint="eastAsia"/>
            <w:noProof/>
            <w:sz w:val="28"/>
          </w:rPr>
        </w:r>
        <w:r w:rsidR="009B3274">
          <w:rPr>
            <w:rFonts w:ascii="彩虹粗仿宋" w:eastAsia="彩虹粗仿宋" w:hAnsi="宋体" w:hint="eastAsia"/>
            <w:noProof/>
            <w:sz w:val="28"/>
          </w:rPr>
          <w:fldChar w:fldCharType="separate"/>
        </w:r>
        <w:r w:rsidR="007A72B6">
          <w:rPr>
            <w:rFonts w:ascii="彩虹粗仿宋" w:eastAsia="彩虹粗仿宋" w:hAnsi="宋体"/>
            <w:noProof/>
            <w:sz w:val="28"/>
          </w:rPr>
          <w:t>43</w:t>
        </w:r>
        <w:r w:rsidR="009B3274">
          <w:rPr>
            <w:rFonts w:ascii="彩虹粗仿宋" w:eastAsia="彩虹粗仿宋" w:hAnsi="宋体" w:hint="eastAsia"/>
            <w:noProof/>
            <w:sz w:val="28"/>
          </w:rPr>
          <w:fldChar w:fldCharType="end"/>
        </w:r>
      </w:hyperlink>
    </w:p>
    <w:p w14:paraId="33256CF8" w14:textId="77777777" w:rsidR="00E77209" w:rsidRDefault="009B3274">
      <w:pPr>
        <w:rPr>
          <w:rFonts w:ascii="彩虹粗仿宋" w:eastAsia="彩虹粗仿宋"/>
          <w:sz w:val="24"/>
        </w:rPr>
      </w:pPr>
      <w:r>
        <w:rPr>
          <w:rFonts w:ascii="彩虹粗仿宋" w:eastAsia="彩虹粗仿宋" w:hAnsi="宋体" w:hint="eastAsia"/>
          <w:sz w:val="28"/>
        </w:rPr>
        <w:lastRenderedPageBreak/>
        <w:fldChar w:fldCharType="end"/>
      </w:r>
    </w:p>
    <w:p w14:paraId="3DD23C09" w14:textId="77777777" w:rsidR="00E77209" w:rsidRDefault="009B3274">
      <w:pPr>
        <w:widowControl/>
        <w:adjustRightInd w:val="0"/>
        <w:snapToGrid w:val="0"/>
        <w:ind w:firstLineChars="200" w:firstLine="480"/>
        <w:rPr>
          <w:rFonts w:ascii="彩虹粗仿宋" w:eastAsia="彩虹粗仿宋" w:hAnsi="宋体" w:cs="Arial"/>
          <w:kern w:val="0"/>
          <w:sz w:val="24"/>
        </w:rPr>
      </w:pPr>
      <w:r>
        <w:rPr>
          <w:rFonts w:ascii="彩虹粗仿宋" w:eastAsia="彩虹粗仿宋" w:hAnsi="宋体" w:cs="Arial" w:hint="eastAsia"/>
          <w:kern w:val="0"/>
          <w:sz w:val="24"/>
        </w:rPr>
        <w:t>鉴于华商基金管理有限公司系一家依照中国法律合法成立并有效存续的有限责任公司，按照相关法律法规的规定具备担任基金管理人的资格和能力，拟募集发行华商时代甄选混合型证券投资基金；</w:t>
      </w:r>
    </w:p>
    <w:p w14:paraId="45560C39" w14:textId="77777777" w:rsidR="00E77209" w:rsidRDefault="009B3274">
      <w:pPr>
        <w:widowControl/>
        <w:adjustRightInd w:val="0"/>
        <w:snapToGrid w:val="0"/>
        <w:ind w:firstLineChars="200" w:firstLine="480"/>
        <w:rPr>
          <w:rFonts w:ascii="彩虹粗仿宋" w:eastAsia="彩虹粗仿宋" w:hAnsi="宋体" w:cs="Arial"/>
          <w:kern w:val="0"/>
          <w:sz w:val="24"/>
        </w:rPr>
      </w:pPr>
      <w:r>
        <w:rPr>
          <w:rFonts w:ascii="彩虹粗仿宋" w:eastAsia="彩虹粗仿宋" w:hAnsi="宋体" w:cs="Arial" w:hint="eastAsia"/>
          <w:kern w:val="0"/>
          <w:sz w:val="24"/>
        </w:rPr>
        <w:t>鉴于中国建设银行股份有限公司系一家依照中国法律合法成立并有效存续的银行，按照相关法律法规的规定具备担任基金托管人的资格和能力；</w:t>
      </w:r>
    </w:p>
    <w:p w14:paraId="111FB037" w14:textId="77777777" w:rsidR="00E77209" w:rsidRDefault="009B3274">
      <w:pPr>
        <w:widowControl/>
        <w:adjustRightInd w:val="0"/>
        <w:snapToGrid w:val="0"/>
        <w:ind w:firstLineChars="200" w:firstLine="480"/>
        <w:rPr>
          <w:rFonts w:ascii="彩虹粗仿宋" w:eastAsia="彩虹粗仿宋" w:hAnsi="宋体" w:cs="Arial"/>
          <w:kern w:val="0"/>
          <w:sz w:val="24"/>
        </w:rPr>
      </w:pPr>
      <w:r>
        <w:rPr>
          <w:rFonts w:ascii="彩虹粗仿宋" w:eastAsia="彩虹粗仿宋" w:hAnsi="宋体" w:cs="Arial" w:hint="eastAsia"/>
          <w:kern w:val="0"/>
          <w:sz w:val="24"/>
        </w:rPr>
        <w:t>鉴于华商基金管理有限公司拟担任华商时代甄选混合型证券投资基金的基金管理人，中国建设银行股份有限公司拟担任华商时代甄选混合型证券投资基金的基金托管人；</w:t>
      </w:r>
    </w:p>
    <w:p w14:paraId="07B7E8BA" w14:textId="77777777" w:rsidR="00E77209" w:rsidRDefault="009B3274">
      <w:pPr>
        <w:widowControl/>
        <w:adjustRightInd w:val="0"/>
        <w:snapToGrid w:val="0"/>
        <w:ind w:firstLineChars="200" w:firstLine="480"/>
        <w:rPr>
          <w:rFonts w:ascii="彩虹粗仿宋" w:eastAsia="彩虹粗仿宋" w:hAnsi="宋体" w:cs="Arial"/>
          <w:kern w:val="0"/>
          <w:sz w:val="24"/>
        </w:rPr>
      </w:pPr>
      <w:r>
        <w:rPr>
          <w:rFonts w:ascii="彩虹粗仿宋" w:eastAsia="彩虹粗仿宋" w:hAnsi="宋体" w:cs="Arial" w:hint="eastAsia"/>
          <w:kern w:val="0"/>
          <w:sz w:val="24"/>
        </w:rPr>
        <w:t>为明确华商时代甄选混合型证券投资基金的基金管理人和基金托管人之间的权利义务关系，特制订本托管协议；</w:t>
      </w:r>
    </w:p>
    <w:p w14:paraId="3567EAA2" w14:textId="77777777" w:rsidR="00E77209" w:rsidRDefault="009B3274">
      <w:pPr>
        <w:widowControl/>
        <w:adjustRightInd w:val="0"/>
        <w:snapToGrid w:val="0"/>
        <w:ind w:firstLineChars="200" w:firstLine="480"/>
        <w:rPr>
          <w:rFonts w:ascii="彩虹粗仿宋" w:eastAsia="彩虹粗仿宋" w:hAnsi="宋体" w:cs="Arial"/>
          <w:kern w:val="0"/>
          <w:sz w:val="24"/>
          <w:lang w:val="en-GB"/>
        </w:rPr>
      </w:pPr>
      <w:r>
        <w:rPr>
          <w:rFonts w:ascii="彩虹粗仿宋" w:eastAsia="彩虹粗仿宋" w:hAnsi="宋体" w:cs="Arial" w:hint="eastAsia"/>
          <w:kern w:val="0"/>
          <w:sz w:val="24"/>
          <w:lang w:val="en-GB"/>
        </w:rPr>
        <w:t>除非另有约定，《</w:t>
      </w:r>
      <w:r>
        <w:rPr>
          <w:rFonts w:ascii="彩虹粗仿宋" w:eastAsia="彩虹粗仿宋" w:hAnsi="宋体" w:cs="Arial" w:hint="eastAsia"/>
          <w:kern w:val="0"/>
          <w:sz w:val="24"/>
        </w:rPr>
        <w:t>华商时代甄选混合型证券投资基金</w:t>
      </w:r>
      <w:r>
        <w:rPr>
          <w:rFonts w:ascii="彩虹粗仿宋" w:eastAsia="彩虹粗仿宋" w:hAnsi="宋体" w:cs="Arial" w:hint="eastAsia"/>
          <w:kern w:val="0"/>
          <w:sz w:val="24"/>
          <w:lang w:val="en-GB"/>
        </w:rPr>
        <w:t>基金合同》(以下简称“基金合同”或“《基金合同》”)中定义的术语在用于本托管协议时应具有相同的含义；若有抵触应以《基金合同》为准，并依其</w:t>
      </w:r>
      <w:r>
        <w:rPr>
          <w:rFonts w:ascii="彩虹粗仿宋" w:eastAsia="彩虹粗仿宋" w:hAnsi="宋体" w:cs="Arial" w:hint="eastAsia"/>
          <w:kern w:val="0"/>
          <w:sz w:val="24"/>
        </w:rPr>
        <w:t>条款</w:t>
      </w:r>
      <w:r>
        <w:rPr>
          <w:rFonts w:ascii="彩虹粗仿宋" w:eastAsia="彩虹粗仿宋" w:hAnsi="宋体" w:cs="Arial" w:hint="eastAsia"/>
          <w:kern w:val="0"/>
          <w:sz w:val="24"/>
          <w:lang w:val="en-GB"/>
        </w:rPr>
        <w:t>解释。</w:t>
      </w:r>
    </w:p>
    <w:p w14:paraId="6EA11221" w14:textId="77777777" w:rsidR="00E77209" w:rsidRDefault="00E77209">
      <w:pPr>
        <w:rPr>
          <w:rFonts w:ascii="彩虹粗仿宋" w:eastAsia="彩虹粗仿宋"/>
          <w:sz w:val="24"/>
          <w:lang w:val="en-GB"/>
        </w:rPr>
      </w:pPr>
    </w:p>
    <w:p w14:paraId="34416E8E" w14:textId="77777777" w:rsidR="00E77209" w:rsidRDefault="009B3274">
      <w:pPr>
        <w:pStyle w:val="2"/>
        <w:jc w:val="center"/>
        <w:rPr>
          <w:rFonts w:ascii="彩虹粗仿宋" w:eastAsia="彩虹粗仿宋"/>
        </w:rPr>
      </w:pPr>
      <w:bookmarkStart w:id="1" w:name="_Toc124325885"/>
      <w:r>
        <w:rPr>
          <w:rFonts w:ascii="彩虹粗仿宋" w:eastAsia="彩虹粗仿宋" w:hint="eastAsia"/>
        </w:rPr>
        <w:t>一、基金托管协议当事人</w:t>
      </w:r>
      <w:bookmarkEnd w:id="1"/>
    </w:p>
    <w:p w14:paraId="4D3B0D16"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（一）基金管理人</w:t>
      </w:r>
    </w:p>
    <w:p w14:paraId="6D71D41D"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名称：华商基金管理有限公司</w:t>
      </w:r>
    </w:p>
    <w:p w14:paraId="42E3558B"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注册地址：北京市西城区平安里西大街28号楼19层</w:t>
      </w:r>
    </w:p>
    <w:p w14:paraId="26559CD3"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办公地址：北京市西城区平安里西大街28号楼19层</w:t>
      </w:r>
    </w:p>
    <w:p w14:paraId="3D6E10A3"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邮政编码：100035</w:t>
      </w:r>
    </w:p>
    <w:p w14:paraId="428109B8"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法定代表人：苏金奎</w:t>
      </w:r>
    </w:p>
    <w:p w14:paraId="6B5E9CC7"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成立日期：</w:t>
      </w:r>
      <w:r>
        <w:rPr>
          <w:rStyle w:val="read"/>
          <w:rFonts w:ascii="彩虹粗仿宋" w:eastAsia="彩虹粗仿宋" w:hAnsi="宋体" w:cs="Arial" w:hint="eastAsia"/>
          <w:sz w:val="24"/>
        </w:rPr>
        <w:t>2005年12月20日</w:t>
      </w:r>
    </w:p>
    <w:p w14:paraId="27B15C54"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批准设立机关及批准设立文号：中国证监会证监基金字</w:t>
      </w:r>
      <w:r>
        <w:rPr>
          <w:rStyle w:val="read"/>
          <w:rFonts w:ascii="彩虹粗仿宋" w:eastAsia="彩虹粗仿宋" w:hAnsi="宋体" w:cs="Arial" w:hint="eastAsia"/>
          <w:sz w:val="24"/>
        </w:rPr>
        <w:t>[</w:t>
      </w:r>
      <w:r>
        <w:rPr>
          <w:rStyle w:val="read"/>
          <w:rFonts w:ascii="彩虹粗仿宋" w:eastAsia="彩虹粗仿宋" w:hAnsi="宋体" w:cs="Arial"/>
          <w:sz w:val="24"/>
        </w:rPr>
        <w:t>2005</w:t>
      </w:r>
      <w:r>
        <w:rPr>
          <w:rStyle w:val="read"/>
          <w:rFonts w:ascii="彩虹粗仿宋" w:eastAsia="彩虹粗仿宋" w:hAnsi="宋体" w:cs="Arial" w:hint="eastAsia"/>
          <w:sz w:val="24"/>
        </w:rPr>
        <w:t>]160</w:t>
      </w:r>
      <w:r>
        <w:rPr>
          <w:rFonts w:ascii="彩虹粗仿宋" w:eastAsia="彩虹粗仿宋" w:hAnsi="宋体" w:cs="Arial" w:hint="eastAsia"/>
          <w:sz w:val="24"/>
        </w:rPr>
        <w:t>号</w:t>
      </w:r>
    </w:p>
    <w:p w14:paraId="5A2FDADB"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组织形式：其他有限责任公司</w:t>
      </w:r>
    </w:p>
    <w:p w14:paraId="78EBE350"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注册资本：壹亿</w:t>
      </w:r>
      <w:r>
        <w:rPr>
          <w:rStyle w:val="read"/>
          <w:rFonts w:ascii="彩虹粗仿宋" w:eastAsia="彩虹粗仿宋" w:hAnsi="宋体" w:cs="Arial" w:hint="eastAsia"/>
          <w:sz w:val="24"/>
        </w:rPr>
        <w:t>元</w:t>
      </w:r>
      <w:r>
        <w:rPr>
          <w:rFonts w:ascii="彩虹粗仿宋" w:eastAsia="彩虹粗仿宋" w:hAnsi="宋体" w:cs="Arial" w:hint="eastAsia"/>
          <w:sz w:val="24"/>
        </w:rPr>
        <w:t>人民币</w:t>
      </w:r>
    </w:p>
    <w:p w14:paraId="0C7C7983"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存续期间：持续经营</w:t>
      </w:r>
    </w:p>
    <w:p w14:paraId="1E4E5D66" w14:textId="7C0A5106"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经营范围：基金募集；基金销售；资产管理和中国证监会许可的其他业务。</w:t>
      </w:r>
    </w:p>
    <w:p w14:paraId="3F61DE7B"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（二）基金托管人</w:t>
      </w:r>
    </w:p>
    <w:p w14:paraId="28A0F904"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名称：中国建设银行股份有限公司</w:t>
      </w:r>
    </w:p>
    <w:p w14:paraId="427DCA3F"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住所：北京市西城区金融大街25号</w:t>
      </w:r>
    </w:p>
    <w:p w14:paraId="6EC4AAC6"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办公地址：北京市西城区闹市口大街1号院1号楼</w:t>
      </w:r>
    </w:p>
    <w:p w14:paraId="09D8709C"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邮政编码：100033</w:t>
      </w:r>
    </w:p>
    <w:p w14:paraId="4F64BBC1"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法定代表人：张金良</w:t>
      </w:r>
    </w:p>
    <w:p w14:paraId="6683C5F6"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成立日期：2004年09月17日</w:t>
      </w:r>
    </w:p>
    <w:p w14:paraId="684E48F4"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基金托管业务批准文号：中国证监会证监基字[1998</w:t>
      </w:r>
      <w:bookmarkStart w:id="2" w:name="OLE_LINK3"/>
      <w:r>
        <w:rPr>
          <w:rFonts w:ascii="彩虹粗仿宋" w:eastAsia="彩虹粗仿宋" w:hAnsi="宋体" w:cs="Arial" w:hint="eastAsia"/>
          <w:sz w:val="24"/>
        </w:rPr>
        <w:t>]</w:t>
      </w:r>
      <w:bookmarkEnd w:id="2"/>
      <w:r>
        <w:rPr>
          <w:rFonts w:ascii="彩虹粗仿宋" w:eastAsia="彩虹粗仿宋" w:hAnsi="宋体" w:cs="Arial" w:hint="eastAsia"/>
          <w:sz w:val="24"/>
        </w:rPr>
        <w:t>12号</w:t>
      </w:r>
    </w:p>
    <w:p w14:paraId="1E51A9A3"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组织形式：股份有限公司</w:t>
      </w:r>
    </w:p>
    <w:p w14:paraId="3DE58265"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注册资本：</w:t>
      </w:r>
      <w:r>
        <w:rPr>
          <w:rFonts w:ascii="彩虹粗仿宋" w:eastAsia="彩虹粗仿宋" w:hint="eastAsia"/>
          <w:sz w:val="24"/>
        </w:rPr>
        <w:t>贰仟伍佰亿壹仟零玖拾柒万柒仟肆佰捌拾陆元整</w:t>
      </w:r>
    </w:p>
    <w:p w14:paraId="47E05723"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存续期间：持续经营</w:t>
      </w:r>
    </w:p>
    <w:p w14:paraId="047BA6F8" w14:textId="77777777" w:rsidR="00E77209" w:rsidRDefault="009B3274">
      <w:pPr>
        <w:tabs>
          <w:tab w:val="left" w:pos="540"/>
        </w:tabs>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经营范围：吸收公众存款；发放短期、中期、长期贷款；办理国内外结算；办理票据承兑与贴现；发行金融债券；代理发行、代理兑付、承销政府债券；买卖政府债券、金融债券；从事同业拆借；买卖、代理买卖外汇；从事银行卡业务；提供</w:t>
      </w:r>
      <w:r>
        <w:rPr>
          <w:rFonts w:ascii="彩虹粗仿宋" w:eastAsia="彩虹粗仿宋" w:hAnsi="宋体" w:cs="Arial" w:hint="eastAsia"/>
          <w:sz w:val="24"/>
        </w:rPr>
        <w:lastRenderedPageBreak/>
        <w:t>信用证服务及担保；代理收付款项及代理保险业务；提供保管箱服务；经中国银行业监督管理机构等监管部门批准的其他业务。</w:t>
      </w:r>
    </w:p>
    <w:p w14:paraId="16C135FD" w14:textId="77777777" w:rsidR="00E77209" w:rsidRDefault="00E77209">
      <w:pPr>
        <w:rPr>
          <w:rFonts w:ascii="彩虹粗仿宋" w:eastAsia="彩虹粗仿宋"/>
          <w:sz w:val="24"/>
        </w:rPr>
      </w:pPr>
    </w:p>
    <w:p w14:paraId="0D40DFBD" w14:textId="77777777" w:rsidR="00E77209" w:rsidRDefault="009B3274">
      <w:pPr>
        <w:pStyle w:val="2"/>
        <w:jc w:val="center"/>
        <w:rPr>
          <w:rFonts w:ascii="彩虹粗仿宋" w:eastAsia="彩虹粗仿宋"/>
          <w:sz w:val="30"/>
        </w:rPr>
      </w:pPr>
      <w:bookmarkStart w:id="3" w:name="_Toc124325886"/>
      <w:r>
        <w:rPr>
          <w:rFonts w:ascii="彩虹粗仿宋" w:eastAsia="彩虹粗仿宋" w:hint="eastAsia"/>
          <w:sz w:val="30"/>
        </w:rPr>
        <w:t>二、基金托管协议的依据、目的和原则</w:t>
      </w:r>
      <w:bookmarkEnd w:id="3"/>
    </w:p>
    <w:p w14:paraId="0CD40B50" w14:textId="77777777" w:rsidR="00E77209" w:rsidRDefault="009B3274">
      <w:pPr>
        <w:adjustRightInd w:val="0"/>
        <w:snapToGrid w:val="0"/>
        <w:ind w:firstLineChars="200" w:firstLine="480"/>
        <w:rPr>
          <w:rFonts w:ascii="彩虹粗仿宋" w:eastAsia="彩虹粗仿宋"/>
          <w:sz w:val="24"/>
          <w:szCs w:val="30"/>
        </w:rPr>
      </w:pPr>
      <w:r>
        <w:rPr>
          <w:rFonts w:ascii="彩虹粗仿宋" w:eastAsia="彩虹粗仿宋" w:hAnsi="宋体" w:cs="Arial" w:hint="eastAsia"/>
          <w:sz w:val="24"/>
        </w:rPr>
        <w:t>（一）订立托管协议的依据</w:t>
      </w:r>
    </w:p>
    <w:p w14:paraId="3DC2B1A3"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本协议依据《中华人民共和国证券投资基金法》(以下简称“《基金法》”)等有关法律法规、《基金合同》及其他有关规定制订。</w:t>
      </w:r>
    </w:p>
    <w:p w14:paraId="71258F2E"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（二）订立托管协议的目的</w:t>
      </w:r>
    </w:p>
    <w:p w14:paraId="48F2D72A" w14:textId="77777777" w:rsidR="00E77209" w:rsidRDefault="009B3274">
      <w:pPr>
        <w:adjustRightInd w:val="0"/>
        <w:snapToGrid w:val="0"/>
        <w:ind w:firstLineChars="200" w:firstLine="480"/>
        <w:rPr>
          <w:rFonts w:ascii="彩虹粗仿宋" w:eastAsia="彩虹粗仿宋"/>
          <w:sz w:val="24"/>
          <w:szCs w:val="30"/>
        </w:rPr>
      </w:pPr>
      <w:r>
        <w:rPr>
          <w:rFonts w:ascii="彩虹粗仿宋" w:eastAsia="彩虹粗仿宋" w:hAnsi="宋体" w:cs="Arial" w:hint="eastAsia"/>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14:paraId="27353F0D"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（三）订立托管协议的原则</w:t>
      </w:r>
    </w:p>
    <w:p w14:paraId="40C09291"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基金管理人和基金托管人本着平等自愿、诚实信用、充分保护基金份额持有人合法权益的原则，经协商一致，签订本协议。</w:t>
      </w:r>
    </w:p>
    <w:p w14:paraId="36C38B09" w14:textId="32D34EAA"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 xml:space="preserve">（四）免责声明 </w:t>
      </w:r>
    </w:p>
    <w:p w14:paraId="06B9A141"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基金托管人开展托管业务，不得承担以下职责：</w:t>
      </w:r>
    </w:p>
    <w:p w14:paraId="1A6BEAF2"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1.承担基金财产的信用风险、市场风险等；</w:t>
      </w:r>
    </w:p>
    <w:p w14:paraId="3920FF76"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2.为基金提供直接或间接、显性或隐性担保，包括承诺本金或保证收益；</w:t>
      </w:r>
    </w:p>
    <w:p w14:paraId="41F51886"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3.为基金垫付资金、提供流动性支持或融资承诺等；</w:t>
      </w:r>
    </w:p>
    <w:p w14:paraId="72BAB188"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4.参与投资者适当性管理；</w:t>
      </w:r>
    </w:p>
    <w:p w14:paraId="7F399AF9"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5.保证投资项目及交易信息真实性；</w:t>
      </w:r>
    </w:p>
    <w:p w14:paraId="5FFB4A4D"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6.保证基金资金来源的合法合规性；</w:t>
      </w:r>
    </w:p>
    <w:p w14:paraId="465E51F3"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7.对已划出托管账户以及处于基金托管人实际控制之外的资产承担保管责任；</w:t>
      </w:r>
    </w:p>
    <w:p w14:paraId="2B7AB949"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8.参与基金管理人对基金的投资决策；</w:t>
      </w:r>
    </w:p>
    <w:p w14:paraId="1E22EF7A"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9.违规代替基金管理人向其他机构或者个人进行基金信息披露或提供相关数据信息；</w:t>
      </w:r>
    </w:p>
    <w:p w14:paraId="3D49D983"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10.基金管理人未接受基金托管人的复核意见进行信息披露产生的相应责任；</w:t>
      </w:r>
    </w:p>
    <w:p w14:paraId="552A4749"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11.负责未兑付产品的资金追偿、财产保全、诉讼仲裁、债务重组和破产程序等，法律另有规定的除外；</w:t>
      </w:r>
    </w:p>
    <w:p w14:paraId="51FDAD69"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12.因不可抗力，以及非本机构履职错误或过失造成的托管资产损失；</w:t>
      </w:r>
    </w:p>
    <w:p w14:paraId="0BF27295"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13.国务院金融监管部门规定的不属于基金托管人托管业务范围的其他职责。</w:t>
      </w:r>
    </w:p>
    <w:p w14:paraId="1A55977D" w14:textId="77777777" w:rsidR="00E77209" w:rsidRDefault="00E77209">
      <w:pPr>
        <w:rPr>
          <w:rFonts w:ascii="彩虹粗仿宋" w:eastAsia="彩虹粗仿宋"/>
          <w:sz w:val="24"/>
        </w:rPr>
      </w:pPr>
    </w:p>
    <w:p w14:paraId="60A15054" w14:textId="77777777" w:rsidR="00E77209" w:rsidRDefault="009B3274">
      <w:pPr>
        <w:pStyle w:val="2"/>
        <w:jc w:val="center"/>
        <w:rPr>
          <w:rFonts w:ascii="彩虹粗仿宋" w:eastAsia="彩虹粗仿宋"/>
          <w:sz w:val="30"/>
          <w:szCs w:val="24"/>
        </w:rPr>
      </w:pPr>
      <w:bookmarkStart w:id="4" w:name="_Toc124325887"/>
      <w:r>
        <w:rPr>
          <w:rFonts w:ascii="彩虹粗仿宋" w:eastAsia="彩虹粗仿宋" w:hint="eastAsia"/>
          <w:sz w:val="30"/>
        </w:rPr>
        <w:t>三、基金托管人对基金管理人的业务监督和核查</w:t>
      </w:r>
      <w:bookmarkEnd w:id="4"/>
    </w:p>
    <w:p w14:paraId="27939004"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基金托管人根据有关法律法规的规定及《基金合同》的约定，对基金投资范围、投资对象进行监督。《基金合同》明确约定基金投资风格或证券选择标准的，基金管理人应按照基金托管人要求的格式，将拟投资的标的证券库提供给基金托管人，基金管理人可以根据实际情况的变化，对各标的证券库予以更新和调整并及时书面通知基金托管人。基金托管人根据上述投资范围对基金实际投资是否符合《基金合同》关于证券选择标准的约定进行监督。</w:t>
      </w:r>
    </w:p>
    <w:p w14:paraId="6308B9B3"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lastRenderedPageBreak/>
        <w:t>本基金的投资范围为具有良好流动性的金融工具，包括国内依法发行或上市的股票（包括主板、创业板、存托凭证及其他经中国证监会核准或注册上市的股票）、内地与香港股票市场交易互联互通机制下允许买卖的香港联合交易所上市股票（以下简称“港股通标的股票”）、债券（含国债、央行票据、金融债券、政府支持债券、政府支持机构债券、地方政府债券、企业债券、公司债券、可转换债券（含可分离交易可转换债券）、可交换债券、次级债券、中期票据、短期融资券、超短期融资券等）、货币市场工具、债券回购、同业存单、银行存款（含协议存款、定期存款及其他银行存款）、股指期货、国债期货、股票期权、资产支持证券以及法律法规或中国证监会允许基金投资的其他金融工具（但须符合中国证监会相关规定）。</w:t>
      </w:r>
    </w:p>
    <w:p w14:paraId="72948A1C"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本基金可根据相关法律法规和基金合同的约定，参与融资业务。</w:t>
      </w:r>
    </w:p>
    <w:p w14:paraId="47833CB2" w14:textId="77777777" w:rsidR="00E77209" w:rsidRDefault="009B3274">
      <w:pPr>
        <w:adjustRightInd w:val="0"/>
        <w:snapToGrid w:val="0"/>
        <w:ind w:firstLineChars="200" w:firstLine="480"/>
        <w:rPr>
          <w:rFonts w:ascii="彩虹粗仿宋" w:eastAsia="彩虹粗仿宋"/>
          <w:sz w:val="24"/>
        </w:rPr>
      </w:pPr>
      <w:r>
        <w:rPr>
          <w:rFonts w:ascii="彩虹粗仿宋" w:eastAsia="彩虹粗仿宋" w:hAnsi="宋体" w:cs="Arial" w:hint="eastAsia"/>
          <w:sz w:val="24"/>
        </w:rPr>
        <w:t>如法律法规或监管机构以后允许基金投资其他品种，基金管理人在履行适当程序后，可以</w:t>
      </w:r>
      <w:r>
        <w:rPr>
          <w:rFonts w:ascii="彩虹粗仿宋" w:eastAsia="彩虹粗仿宋" w:hint="eastAsia"/>
          <w:sz w:val="24"/>
        </w:rPr>
        <w:t>将其纳入投资范围。</w:t>
      </w:r>
    </w:p>
    <w:p w14:paraId="10BC617E" w14:textId="77777777" w:rsidR="00E77209" w:rsidRDefault="009B3274">
      <w:pPr>
        <w:adjustRightInd w:val="0"/>
        <w:snapToGrid w:val="0"/>
        <w:ind w:firstLineChars="200" w:firstLine="480"/>
        <w:rPr>
          <w:rFonts w:ascii="彩虹粗仿宋" w:eastAsia="彩虹粗仿宋"/>
          <w:sz w:val="24"/>
        </w:rPr>
      </w:pPr>
      <w:r>
        <w:rPr>
          <w:rFonts w:ascii="彩虹粗仿宋" w:eastAsia="彩虹粗仿宋" w:hint="eastAsia"/>
          <w:sz w:val="24"/>
        </w:rPr>
        <w:t>基金的投资组合比例为：股票投资比例为基金资产的60%-95%，其中投资于港股通标的股票的比例占股票资产的0-50%。每个交易日日终，在扣除股指期货、国债期货和股票期权合约需缴纳的交易保证金后，应当保持不低于基金资产净值的5%的现金或到期日在一年以内的政府债券，其中现金不包括结算备付金、存出保证金、应收申购款等。股指期货、国债期货、股票期权及其他金融工具的投资比例符合法律法规和监管机构的规定。</w:t>
      </w:r>
    </w:p>
    <w:p w14:paraId="25F4D6AC" w14:textId="77777777" w:rsidR="00E77209" w:rsidRDefault="009B3274">
      <w:pPr>
        <w:adjustRightInd w:val="0"/>
        <w:snapToGrid w:val="0"/>
        <w:ind w:firstLineChars="200" w:firstLine="480"/>
        <w:rPr>
          <w:rFonts w:ascii="彩虹粗仿宋" w:eastAsia="彩虹粗仿宋"/>
          <w:sz w:val="24"/>
        </w:rPr>
      </w:pPr>
      <w:r>
        <w:rPr>
          <w:rFonts w:ascii="彩虹粗仿宋" w:eastAsia="彩虹粗仿宋" w:hint="eastAsia"/>
          <w:sz w:val="24"/>
        </w:rPr>
        <w:t>如法律法规或监管机构变更投资品种的投资比例限制，基金管理人在履行适当程序后，可以调整上述投资品种的投资比例。</w:t>
      </w:r>
    </w:p>
    <w:p w14:paraId="3CDC4B4B" w14:textId="77777777" w:rsidR="00E77209" w:rsidRDefault="009B3274">
      <w:pPr>
        <w:adjustRightInd w:val="0"/>
        <w:snapToGrid w:val="0"/>
        <w:ind w:firstLineChars="200" w:firstLine="480"/>
        <w:rPr>
          <w:rFonts w:ascii="彩虹粗仿宋" w:eastAsia="彩虹粗仿宋"/>
          <w:sz w:val="24"/>
        </w:rPr>
      </w:pPr>
      <w:r>
        <w:rPr>
          <w:rFonts w:ascii="彩虹粗仿宋" w:eastAsia="彩虹粗仿宋" w:hint="eastAsia"/>
          <w:sz w:val="24"/>
        </w:rPr>
        <w:t>（二）基金托管人根据有关法律法规的规定及《基金合同》的约定，对基金投资、融资比例进行监督。基金托管人按下述比例和调整期限进行监督：</w:t>
      </w:r>
    </w:p>
    <w:p w14:paraId="6A4148AC" w14:textId="77777777" w:rsidR="00E77209" w:rsidRDefault="009B3274">
      <w:pPr>
        <w:adjustRightInd w:val="0"/>
        <w:snapToGrid w:val="0"/>
        <w:ind w:firstLineChars="200" w:firstLine="480"/>
        <w:rPr>
          <w:rFonts w:ascii="彩虹粗仿宋" w:eastAsia="彩虹粗仿宋"/>
          <w:i/>
          <w:sz w:val="24"/>
        </w:rPr>
      </w:pPr>
      <w:r>
        <w:rPr>
          <w:rFonts w:ascii="彩虹粗仿宋" w:eastAsia="彩虹粗仿宋"/>
          <w:sz w:val="24"/>
        </w:rPr>
        <w:t>1.</w:t>
      </w:r>
      <w:r>
        <w:rPr>
          <w:rFonts w:ascii="彩虹粗仿宋" w:eastAsia="彩虹粗仿宋" w:hint="eastAsia"/>
          <w:sz w:val="24"/>
        </w:rPr>
        <w:t xml:space="preserve"> 本基金</w:t>
      </w:r>
      <w:r>
        <w:rPr>
          <w:rFonts w:ascii="彩虹粗仿宋" w:eastAsia="彩虹粗仿宋"/>
          <w:sz w:val="24"/>
        </w:rPr>
        <w:t>投资于股票资产的比例为基金资产的60%-95%，其中，投资于港股通标的股票的比例为股票资产的0%-50%；</w:t>
      </w:r>
    </w:p>
    <w:p w14:paraId="658DD2D0" w14:textId="77777777" w:rsidR="00E77209" w:rsidRDefault="009B3274">
      <w:pPr>
        <w:adjustRightInd w:val="0"/>
        <w:snapToGrid w:val="0"/>
        <w:ind w:firstLineChars="200" w:firstLine="480"/>
        <w:rPr>
          <w:rFonts w:ascii="彩虹粗仿宋" w:eastAsia="彩虹粗仿宋"/>
          <w:sz w:val="24"/>
        </w:rPr>
      </w:pPr>
      <w:r>
        <w:rPr>
          <w:rFonts w:ascii="彩虹粗仿宋" w:eastAsia="彩虹粗仿宋" w:hint="eastAsia"/>
          <w:sz w:val="24"/>
        </w:rPr>
        <w:t>2.</w:t>
      </w:r>
      <w:r>
        <w:rPr>
          <w:rFonts w:hint="eastAsia"/>
        </w:rPr>
        <w:t xml:space="preserve"> </w:t>
      </w:r>
      <w:r>
        <w:rPr>
          <w:rFonts w:ascii="彩虹粗仿宋" w:eastAsia="彩虹粗仿宋" w:hint="eastAsia"/>
          <w:sz w:val="24"/>
        </w:rPr>
        <w:t>本基金每个交易日日终在扣除股指期货、国债期货和股票期权合约需缴纳的交易保证金后，应当保持不低于基金资产净值5％的现金或者到期日在一年以内的政府债券，其中现金不包括结算备付金、存出保证金和应收申购款等；</w:t>
      </w:r>
    </w:p>
    <w:p w14:paraId="0CDD57B9" w14:textId="77777777" w:rsidR="00E77209" w:rsidRDefault="009B3274">
      <w:pPr>
        <w:adjustRightInd w:val="0"/>
        <w:snapToGrid w:val="0"/>
        <w:ind w:firstLineChars="200" w:firstLine="480"/>
        <w:rPr>
          <w:rFonts w:ascii="彩虹粗仿宋" w:eastAsia="彩虹粗仿宋"/>
          <w:sz w:val="24"/>
        </w:rPr>
      </w:pPr>
      <w:r>
        <w:rPr>
          <w:rFonts w:ascii="彩虹粗仿宋" w:eastAsia="彩虹粗仿宋" w:hint="eastAsia"/>
          <w:sz w:val="24"/>
        </w:rPr>
        <w:t>3.本基金持有一家公司发行的证券（同一家公司在境内和香港同时上市的</w:t>
      </w:r>
      <w:r>
        <w:rPr>
          <w:rFonts w:ascii="彩虹粗仿宋" w:eastAsia="彩虹粗仿宋"/>
          <w:sz w:val="24"/>
        </w:rPr>
        <w:t>A+H</w:t>
      </w:r>
      <w:r>
        <w:rPr>
          <w:rFonts w:ascii="彩虹粗仿宋" w:eastAsia="彩虹粗仿宋" w:hint="eastAsia"/>
          <w:sz w:val="24"/>
        </w:rPr>
        <w:t>股合并计算），其市值不超过基金资产净值的10％；</w:t>
      </w:r>
    </w:p>
    <w:p w14:paraId="227B05BD" w14:textId="77777777" w:rsidR="00E77209" w:rsidRDefault="009B3274">
      <w:pPr>
        <w:adjustRightInd w:val="0"/>
        <w:snapToGrid w:val="0"/>
        <w:ind w:firstLineChars="200" w:firstLine="480"/>
        <w:rPr>
          <w:rFonts w:ascii="彩虹粗仿宋" w:eastAsia="彩虹粗仿宋"/>
          <w:sz w:val="24"/>
        </w:rPr>
      </w:pPr>
      <w:r>
        <w:rPr>
          <w:rFonts w:ascii="彩虹粗仿宋" w:eastAsia="彩虹粗仿宋" w:hint="eastAsia"/>
          <w:sz w:val="24"/>
        </w:rPr>
        <w:t>4.</w:t>
      </w:r>
      <w:r>
        <w:rPr>
          <w:rFonts w:hint="eastAsia"/>
        </w:rPr>
        <w:t xml:space="preserve"> </w:t>
      </w:r>
      <w:r>
        <w:rPr>
          <w:rFonts w:ascii="彩虹粗仿宋" w:eastAsia="彩虹粗仿宋" w:hint="eastAsia"/>
          <w:sz w:val="24"/>
        </w:rPr>
        <w:t>本基金管理人管理的且由本基金托管人托管的全部基金持有一家公司发行的证券（同一家公司在境内和香港同时上市的A+H股合并计算），不超过该证券的10％；</w:t>
      </w:r>
    </w:p>
    <w:p w14:paraId="6497D99B" w14:textId="77777777" w:rsidR="00E77209" w:rsidRDefault="009B3274">
      <w:pPr>
        <w:adjustRightInd w:val="0"/>
        <w:snapToGrid w:val="0"/>
        <w:ind w:firstLineChars="200" w:firstLine="480"/>
        <w:rPr>
          <w:rFonts w:ascii="彩虹粗仿宋" w:eastAsia="彩虹粗仿宋"/>
          <w:sz w:val="24"/>
        </w:rPr>
      </w:pPr>
      <w:r>
        <w:rPr>
          <w:rFonts w:ascii="彩虹粗仿宋" w:eastAsia="彩虹粗仿宋" w:hint="eastAsia"/>
          <w:sz w:val="24"/>
        </w:rPr>
        <w:t>5. 本基金投资于同一原始权益人的各类资产支持证券的比例，不得超过基金资产净值的10％；</w:t>
      </w:r>
    </w:p>
    <w:p w14:paraId="3084071F" w14:textId="77777777" w:rsidR="00E77209" w:rsidRDefault="009B3274">
      <w:pPr>
        <w:adjustRightInd w:val="0"/>
        <w:snapToGrid w:val="0"/>
        <w:ind w:firstLineChars="200" w:firstLine="480"/>
        <w:rPr>
          <w:rFonts w:ascii="彩虹粗仿宋" w:eastAsia="彩虹粗仿宋"/>
          <w:sz w:val="24"/>
        </w:rPr>
      </w:pPr>
      <w:r>
        <w:rPr>
          <w:rFonts w:ascii="彩虹粗仿宋" w:eastAsia="彩虹粗仿宋" w:hint="eastAsia"/>
          <w:sz w:val="24"/>
        </w:rPr>
        <w:t>6.本基金持有的全部资产支持证券，其市值不得超过基金资产净值的20％；</w:t>
      </w:r>
    </w:p>
    <w:p w14:paraId="5411F4BF" w14:textId="77777777" w:rsidR="00E77209" w:rsidRDefault="009B3274">
      <w:pPr>
        <w:adjustRightInd w:val="0"/>
        <w:snapToGrid w:val="0"/>
        <w:ind w:firstLineChars="200" w:firstLine="480"/>
        <w:rPr>
          <w:rFonts w:ascii="彩虹粗仿宋" w:eastAsia="彩虹粗仿宋"/>
          <w:sz w:val="24"/>
        </w:rPr>
      </w:pPr>
      <w:r>
        <w:rPr>
          <w:rFonts w:ascii="彩虹粗仿宋" w:eastAsia="彩虹粗仿宋" w:hint="eastAsia"/>
          <w:sz w:val="24"/>
        </w:rPr>
        <w:t>7.本基金持有的同一(指同一信用级别)资产支持证券的比例，不得超过该资产支持证券规模的10％；</w:t>
      </w:r>
    </w:p>
    <w:p w14:paraId="4FE71DF9" w14:textId="77777777" w:rsidR="00E77209" w:rsidRDefault="009B3274">
      <w:pPr>
        <w:adjustRightInd w:val="0"/>
        <w:snapToGrid w:val="0"/>
        <w:ind w:firstLineChars="200" w:firstLine="480"/>
        <w:rPr>
          <w:rFonts w:ascii="彩虹粗仿宋" w:eastAsia="彩虹粗仿宋"/>
          <w:sz w:val="24"/>
        </w:rPr>
      </w:pPr>
      <w:r>
        <w:rPr>
          <w:rFonts w:ascii="彩虹粗仿宋" w:eastAsia="彩虹粗仿宋" w:hint="eastAsia"/>
          <w:sz w:val="24"/>
        </w:rPr>
        <w:t>8.</w:t>
      </w:r>
      <w:r>
        <w:rPr>
          <w:rFonts w:hint="eastAsia"/>
        </w:rPr>
        <w:t xml:space="preserve"> </w:t>
      </w:r>
      <w:r>
        <w:rPr>
          <w:rFonts w:ascii="彩虹粗仿宋" w:eastAsia="彩虹粗仿宋" w:hint="eastAsia"/>
          <w:sz w:val="24"/>
        </w:rPr>
        <w:t>本基金管理人管理的且由本基金托管人托管的全部基金投资于同一原始权益人的各类资产支持证券，不得超过其各类资产支持证券合计规模的10％；</w:t>
      </w:r>
    </w:p>
    <w:p w14:paraId="7075CA72" w14:textId="77777777" w:rsidR="00E77209" w:rsidRDefault="009B3274">
      <w:pPr>
        <w:adjustRightInd w:val="0"/>
        <w:snapToGrid w:val="0"/>
        <w:ind w:firstLineChars="200" w:firstLine="480"/>
        <w:rPr>
          <w:rFonts w:ascii="彩虹粗仿宋" w:eastAsia="彩虹粗仿宋"/>
          <w:sz w:val="24"/>
        </w:rPr>
      </w:pPr>
      <w:r>
        <w:rPr>
          <w:rFonts w:ascii="彩虹粗仿宋" w:eastAsia="彩虹粗仿宋" w:hint="eastAsia"/>
          <w:sz w:val="24"/>
        </w:rPr>
        <w:t>9.本基金应投资于信用级别评级为BBB以上(含BBB)的资产支持证券。基金持有资产支持证券期间，如果其信用等级下降、不再符合投资标准，应在评级报告发布之日起3个月内予以全部卖出；</w:t>
      </w:r>
    </w:p>
    <w:p w14:paraId="71E47451" w14:textId="77777777" w:rsidR="00E77209" w:rsidRDefault="009B3274">
      <w:pPr>
        <w:adjustRightInd w:val="0"/>
        <w:snapToGrid w:val="0"/>
        <w:ind w:firstLineChars="200" w:firstLine="480"/>
        <w:rPr>
          <w:rFonts w:ascii="彩虹粗仿宋" w:eastAsia="彩虹粗仿宋"/>
          <w:sz w:val="24"/>
        </w:rPr>
      </w:pPr>
      <w:r>
        <w:rPr>
          <w:rFonts w:ascii="彩虹粗仿宋" w:eastAsia="彩虹粗仿宋" w:hint="eastAsia"/>
          <w:sz w:val="24"/>
        </w:rPr>
        <w:t>10.基金财产参与股票发行申购，本基金所申报的金额不超过本基金的总资产，</w:t>
      </w:r>
      <w:r>
        <w:rPr>
          <w:rFonts w:ascii="彩虹粗仿宋" w:eastAsia="彩虹粗仿宋" w:hint="eastAsia"/>
          <w:sz w:val="24"/>
        </w:rPr>
        <w:lastRenderedPageBreak/>
        <w:t>本基金所申报的股票数量不超过拟发行股票公司本次发行股票的总量；</w:t>
      </w:r>
    </w:p>
    <w:p w14:paraId="644F3FD5" w14:textId="77777777" w:rsidR="00E77209" w:rsidRDefault="009B3274">
      <w:pPr>
        <w:adjustRightInd w:val="0"/>
        <w:snapToGrid w:val="0"/>
        <w:ind w:firstLineChars="200" w:firstLine="480"/>
        <w:rPr>
          <w:rFonts w:ascii="彩虹粗仿宋" w:eastAsia="彩虹粗仿宋"/>
          <w:sz w:val="24"/>
        </w:rPr>
      </w:pPr>
      <w:r>
        <w:rPr>
          <w:rFonts w:ascii="彩虹粗仿宋" w:eastAsia="彩虹粗仿宋"/>
          <w:sz w:val="24"/>
        </w:rPr>
        <w:t>11.</w:t>
      </w:r>
      <w:r>
        <w:rPr>
          <w:rFonts w:ascii="彩虹粗仿宋" w:eastAsia="彩虹粗仿宋" w:hint="eastAsia"/>
          <w:sz w:val="24"/>
        </w:rPr>
        <w:t>本基金管理人管理的且由本基金托管人托管的全部开放式基金持有一家上市公司发行的可流通股票，不得超过该上市公司可流通股票的15%；本基金管理人管理的且由本基金托管人托管的全部投资组合持有一家上市公司发行的可流通股票，不得超过该上市公司可流通股票的30%；</w:t>
      </w:r>
    </w:p>
    <w:p w14:paraId="4F50CAAF" w14:textId="77777777" w:rsidR="00E77209" w:rsidRDefault="009B3274">
      <w:pPr>
        <w:adjustRightInd w:val="0"/>
        <w:snapToGrid w:val="0"/>
        <w:ind w:firstLineChars="200" w:firstLine="480"/>
        <w:rPr>
          <w:rFonts w:ascii="彩虹粗仿宋" w:eastAsia="彩虹粗仿宋"/>
          <w:sz w:val="24"/>
        </w:rPr>
      </w:pPr>
      <w:r>
        <w:rPr>
          <w:rFonts w:ascii="彩虹粗仿宋" w:eastAsia="彩虹粗仿宋" w:hint="eastAsia"/>
          <w:sz w:val="24"/>
        </w:rPr>
        <w:t>12.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14:paraId="697C8286" w14:textId="77777777" w:rsidR="00E77209" w:rsidRDefault="009B3274">
      <w:pPr>
        <w:adjustRightInd w:val="0"/>
        <w:snapToGrid w:val="0"/>
        <w:ind w:firstLineChars="200" w:firstLine="480"/>
        <w:rPr>
          <w:rFonts w:ascii="彩虹粗仿宋" w:eastAsia="彩虹粗仿宋"/>
          <w:sz w:val="24"/>
        </w:rPr>
      </w:pPr>
      <w:r>
        <w:rPr>
          <w:rFonts w:ascii="彩虹粗仿宋" w:eastAsia="彩虹粗仿宋" w:hint="eastAsia"/>
          <w:sz w:val="24"/>
        </w:rPr>
        <w:t>13</w:t>
      </w:r>
      <w:r>
        <w:rPr>
          <w:rFonts w:ascii="彩虹粗仿宋" w:eastAsia="彩虹粗仿宋"/>
          <w:sz w:val="24"/>
        </w:rPr>
        <w:t>.</w:t>
      </w:r>
      <w:r>
        <w:rPr>
          <w:rFonts w:ascii="彩虹粗仿宋" w:eastAsia="彩虹粗仿宋" w:hint="eastAsia"/>
          <w:sz w:val="24"/>
        </w:rPr>
        <w:t>本基金资产总值不超过基金资产净值的140%；</w:t>
      </w:r>
    </w:p>
    <w:p w14:paraId="68A83E8C" w14:textId="77777777" w:rsidR="00E77209" w:rsidRDefault="009B3274">
      <w:pPr>
        <w:adjustRightInd w:val="0"/>
        <w:snapToGrid w:val="0"/>
        <w:ind w:firstLineChars="200" w:firstLine="480"/>
        <w:rPr>
          <w:rFonts w:ascii="彩虹粗仿宋" w:eastAsia="彩虹粗仿宋"/>
          <w:sz w:val="24"/>
        </w:rPr>
      </w:pPr>
      <w:r>
        <w:rPr>
          <w:rFonts w:ascii="彩虹粗仿宋" w:eastAsia="彩虹粗仿宋" w:hint="eastAsia"/>
          <w:sz w:val="24"/>
        </w:rPr>
        <w:t>14.</w:t>
      </w:r>
      <w:r>
        <w:rPr>
          <w:rFonts w:hint="eastAsia"/>
        </w:rPr>
        <w:t xml:space="preserve"> </w:t>
      </w:r>
      <w:r>
        <w:rPr>
          <w:rFonts w:ascii="彩虹粗仿宋" w:eastAsia="彩虹粗仿宋" w:hint="eastAsia"/>
          <w:sz w:val="24"/>
        </w:rPr>
        <w:t>本基金仅在参与投资股指期货、国债期货交易时，需遵循以下中国证监会规定的投资限制：</w:t>
      </w:r>
    </w:p>
    <w:p w14:paraId="197461F8" w14:textId="77777777" w:rsidR="00E77209" w:rsidRDefault="009B3274">
      <w:pPr>
        <w:adjustRightInd w:val="0"/>
        <w:snapToGrid w:val="0"/>
        <w:ind w:firstLineChars="200" w:firstLine="480"/>
        <w:rPr>
          <w:rFonts w:ascii="彩虹粗仿宋" w:eastAsia="彩虹粗仿宋"/>
          <w:sz w:val="24"/>
        </w:rPr>
      </w:pPr>
      <w:r>
        <w:rPr>
          <w:rFonts w:ascii="彩虹粗仿宋" w:eastAsia="彩虹粗仿宋" w:hint="eastAsia"/>
          <w:sz w:val="24"/>
        </w:rPr>
        <w:t>1）本基金在任何交易日日终，持有的买入股指期货合约价值，不得超过基金资产净值的10%；</w:t>
      </w:r>
    </w:p>
    <w:p w14:paraId="20DF2A28" w14:textId="77777777" w:rsidR="00E77209" w:rsidRDefault="009B3274">
      <w:pPr>
        <w:adjustRightInd w:val="0"/>
        <w:snapToGrid w:val="0"/>
        <w:ind w:firstLineChars="200" w:firstLine="480"/>
        <w:rPr>
          <w:rFonts w:ascii="彩虹粗仿宋" w:eastAsia="彩虹粗仿宋"/>
          <w:sz w:val="24"/>
        </w:rPr>
      </w:pPr>
      <w:r>
        <w:rPr>
          <w:rFonts w:ascii="彩虹粗仿宋" w:eastAsia="彩虹粗仿宋" w:hint="eastAsia"/>
          <w:sz w:val="24"/>
        </w:rPr>
        <w:t>2）本基金在任何交易日日终，持有的买入国债期货合约价值，不得超过基金资产净值的15%；</w:t>
      </w:r>
    </w:p>
    <w:p w14:paraId="2C6109D0" w14:textId="77777777" w:rsidR="00E77209" w:rsidRDefault="009B3274">
      <w:pPr>
        <w:adjustRightInd w:val="0"/>
        <w:snapToGrid w:val="0"/>
        <w:ind w:firstLineChars="200" w:firstLine="480"/>
        <w:rPr>
          <w:rFonts w:ascii="彩虹粗仿宋" w:eastAsia="彩虹粗仿宋"/>
          <w:sz w:val="24"/>
        </w:rPr>
      </w:pPr>
      <w:r>
        <w:rPr>
          <w:rFonts w:ascii="彩虹粗仿宋" w:eastAsia="彩虹粗仿宋" w:hint="eastAsia"/>
          <w:sz w:val="24"/>
        </w:rPr>
        <w:t>3）本基金在任何交易日日终，持有的买入股指期货和国债期货合约价值与有价证券市值之和，不得超过基金资产净值的95%。其中，有价证券指股票、债券（不含到期日在一年以内的政府债券）、资产支持证券、买入返售金融资产（不含质押式回购）等；</w:t>
      </w:r>
    </w:p>
    <w:p w14:paraId="21C23CC4" w14:textId="77777777" w:rsidR="00E77209" w:rsidRDefault="009B3274">
      <w:pPr>
        <w:adjustRightInd w:val="0"/>
        <w:snapToGrid w:val="0"/>
        <w:ind w:firstLineChars="200" w:firstLine="480"/>
        <w:rPr>
          <w:rFonts w:ascii="彩虹粗仿宋" w:eastAsia="彩虹粗仿宋"/>
          <w:sz w:val="24"/>
        </w:rPr>
      </w:pPr>
      <w:r>
        <w:rPr>
          <w:rFonts w:ascii="彩虹粗仿宋" w:eastAsia="彩虹粗仿宋" w:hint="eastAsia"/>
          <w:sz w:val="24"/>
        </w:rPr>
        <w:t>4）本基金在任何交易日日终，持有的卖出股指期货合约价值不得超过基金持有的股票总市值的20%；</w:t>
      </w:r>
    </w:p>
    <w:p w14:paraId="33A1FAA1" w14:textId="77777777" w:rsidR="00E77209" w:rsidRDefault="009B3274">
      <w:pPr>
        <w:adjustRightInd w:val="0"/>
        <w:snapToGrid w:val="0"/>
        <w:ind w:firstLineChars="200" w:firstLine="480"/>
        <w:rPr>
          <w:rFonts w:ascii="彩虹粗仿宋" w:eastAsia="彩虹粗仿宋"/>
          <w:sz w:val="24"/>
        </w:rPr>
      </w:pPr>
      <w:r>
        <w:rPr>
          <w:rFonts w:ascii="彩虹粗仿宋" w:eastAsia="彩虹粗仿宋" w:hint="eastAsia"/>
          <w:sz w:val="24"/>
        </w:rPr>
        <w:t>5）本基金在任何交易日日终，持有的卖出国债期货合约价值不得超过基金持有的债券总市值的30%；</w:t>
      </w:r>
    </w:p>
    <w:p w14:paraId="6818BAA4" w14:textId="77777777" w:rsidR="00E77209" w:rsidRDefault="009B3274">
      <w:pPr>
        <w:adjustRightInd w:val="0"/>
        <w:snapToGrid w:val="0"/>
        <w:ind w:firstLineChars="200" w:firstLine="480"/>
        <w:rPr>
          <w:rFonts w:ascii="彩虹粗仿宋" w:eastAsia="彩虹粗仿宋"/>
          <w:sz w:val="24"/>
        </w:rPr>
      </w:pPr>
      <w:r>
        <w:rPr>
          <w:rFonts w:ascii="彩虹粗仿宋" w:eastAsia="彩虹粗仿宋" w:hint="eastAsia"/>
          <w:sz w:val="24"/>
        </w:rPr>
        <w:t>6）本基金所持有的股票市值和买入、卖出股指期货合约价值，合计（轧差计算）应当符合基金合同关于股票投资比例的有关约定；</w:t>
      </w:r>
    </w:p>
    <w:p w14:paraId="4DE960A1" w14:textId="51188F33" w:rsidR="00E77209" w:rsidRDefault="009B3274">
      <w:pPr>
        <w:adjustRightInd w:val="0"/>
        <w:snapToGrid w:val="0"/>
        <w:ind w:firstLineChars="200" w:firstLine="480"/>
        <w:rPr>
          <w:rFonts w:ascii="彩虹粗仿宋" w:eastAsia="彩虹粗仿宋"/>
          <w:sz w:val="24"/>
        </w:rPr>
      </w:pPr>
      <w:r>
        <w:rPr>
          <w:rFonts w:ascii="彩虹粗仿宋" w:eastAsia="彩虹粗仿宋"/>
          <w:sz w:val="24"/>
        </w:rPr>
        <w:t>7</w:t>
      </w:r>
      <w:r>
        <w:rPr>
          <w:rFonts w:ascii="彩虹粗仿宋" w:eastAsia="彩虹粗仿宋" w:hint="eastAsia"/>
          <w:sz w:val="24"/>
        </w:rPr>
        <w:t>）本基金在任何交易日内交易（不包括平仓）的股指期货合约的成交金额不得超过上一交易日基金资产净值的20%；</w:t>
      </w:r>
    </w:p>
    <w:p w14:paraId="0D2CE964" w14:textId="363A7B8F" w:rsidR="00E77209" w:rsidRDefault="009B3274">
      <w:pPr>
        <w:adjustRightInd w:val="0"/>
        <w:snapToGrid w:val="0"/>
        <w:ind w:firstLineChars="200" w:firstLine="480"/>
        <w:rPr>
          <w:rFonts w:ascii="彩虹粗仿宋" w:eastAsia="彩虹粗仿宋"/>
          <w:sz w:val="24"/>
        </w:rPr>
      </w:pPr>
      <w:r>
        <w:rPr>
          <w:rFonts w:ascii="彩虹粗仿宋" w:eastAsia="彩虹粗仿宋"/>
          <w:sz w:val="24"/>
        </w:rPr>
        <w:t>8</w:t>
      </w:r>
      <w:r>
        <w:rPr>
          <w:rFonts w:ascii="彩虹粗仿宋" w:eastAsia="彩虹粗仿宋" w:hint="eastAsia"/>
          <w:sz w:val="24"/>
        </w:rPr>
        <w:t>）本基金在任何交易日内交易（不包括平仓）的国债期货合约的成交金额不得超过上一交易日基金资产净值的30%；</w:t>
      </w:r>
    </w:p>
    <w:p w14:paraId="693120D9" w14:textId="4D35E632" w:rsidR="00E77209" w:rsidRDefault="009B3274">
      <w:pPr>
        <w:adjustRightInd w:val="0"/>
        <w:snapToGrid w:val="0"/>
        <w:ind w:firstLineChars="200" w:firstLine="480"/>
        <w:rPr>
          <w:rFonts w:ascii="彩虹粗仿宋" w:eastAsia="彩虹粗仿宋"/>
          <w:sz w:val="24"/>
        </w:rPr>
      </w:pPr>
      <w:r>
        <w:rPr>
          <w:rFonts w:ascii="彩虹粗仿宋" w:eastAsia="彩虹粗仿宋" w:hint="eastAsia"/>
          <w:sz w:val="24"/>
        </w:rPr>
        <w:t>1</w:t>
      </w:r>
      <w:r>
        <w:rPr>
          <w:rFonts w:ascii="彩虹粗仿宋" w:eastAsia="彩虹粗仿宋"/>
          <w:sz w:val="24"/>
        </w:rPr>
        <w:t>5</w:t>
      </w:r>
      <w:r>
        <w:rPr>
          <w:rFonts w:ascii="彩虹粗仿宋" w:eastAsia="彩虹粗仿宋" w:hint="eastAsia"/>
          <w:sz w:val="24"/>
        </w:rPr>
        <w:t>.</w:t>
      </w:r>
      <w:r>
        <w:rPr>
          <w:rFonts w:ascii="彩虹粗仿宋" w:eastAsia="彩虹粗仿宋"/>
          <w:sz w:val="24"/>
        </w:rPr>
        <w:t>本基金投资存托凭证的比例限制依照境内上市交易的股票执行，与境内上市交易的股票合并计算，法律法规或监管部门另有要求的除外；</w:t>
      </w:r>
    </w:p>
    <w:p w14:paraId="1CC61800" w14:textId="375AE063" w:rsidR="00E77209" w:rsidRDefault="009B3274">
      <w:pPr>
        <w:adjustRightInd w:val="0"/>
        <w:snapToGrid w:val="0"/>
        <w:ind w:firstLineChars="200" w:firstLine="480"/>
        <w:rPr>
          <w:rFonts w:ascii="彩虹粗仿宋" w:eastAsia="彩虹粗仿宋"/>
          <w:sz w:val="24"/>
        </w:rPr>
      </w:pPr>
      <w:r>
        <w:rPr>
          <w:rFonts w:ascii="彩虹粗仿宋" w:eastAsia="彩虹粗仿宋" w:hint="eastAsia"/>
          <w:sz w:val="24"/>
        </w:rPr>
        <w:t>1</w:t>
      </w:r>
      <w:r>
        <w:rPr>
          <w:rFonts w:ascii="彩虹粗仿宋" w:eastAsia="彩虹粗仿宋"/>
          <w:sz w:val="24"/>
        </w:rPr>
        <w:t>6</w:t>
      </w:r>
      <w:r>
        <w:rPr>
          <w:rFonts w:ascii="彩虹粗仿宋" w:eastAsia="彩虹粗仿宋" w:hint="eastAsia"/>
          <w:sz w:val="24"/>
        </w:rPr>
        <w:t>. 本基金参与股票期权交易的，需遵守下列投资比例限制：</w:t>
      </w:r>
    </w:p>
    <w:p w14:paraId="76937271" w14:textId="77777777" w:rsidR="00E77209" w:rsidRDefault="009B3274">
      <w:pPr>
        <w:adjustRightInd w:val="0"/>
        <w:snapToGrid w:val="0"/>
        <w:ind w:firstLineChars="200" w:firstLine="480"/>
        <w:rPr>
          <w:rFonts w:ascii="彩虹粗仿宋" w:eastAsia="彩虹粗仿宋"/>
          <w:sz w:val="24"/>
        </w:rPr>
      </w:pPr>
      <w:r>
        <w:rPr>
          <w:rFonts w:ascii="彩虹粗仿宋" w:eastAsia="彩虹粗仿宋" w:hint="eastAsia"/>
          <w:sz w:val="24"/>
        </w:rPr>
        <w:t>1）本基金因未平仓的期权合约支付和收取的权利金总额不得超过基金资产净值的10%；</w:t>
      </w:r>
    </w:p>
    <w:p w14:paraId="67877991" w14:textId="76578136" w:rsidR="00E77209" w:rsidRDefault="009B3274">
      <w:pPr>
        <w:adjustRightInd w:val="0"/>
        <w:snapToGrid w:val="0"/>
        <w:ind w:firstLineChars="200" w:firstLine="480"/>
        <w:rPr>
          <w:rFonts w:ascii="彩虹粗仿宋" w:eastAsia="彩虹粗仿宋"/>
          <w:sz w:val="24"/>
        </w:rPr>
      </w:pPr>
      <w:r>
        <w:rPr>
          <w:rFonts w:ascii="彩虹粗仿宋" w:eastAsia="彩虹粗仿宋"/>
          <w:sz w:val="24"/>
        </w:rPr>
        <w:t>2</w:t>
      </w:r>
      <w:r>
        <w:rPr>
          <w:rFonts w:ascii="彩虹粗仿宋" w:eastAsia="彩虹粗仿宋" w:hint="eastAsia"/>
          <w:sz w:val="24"/>
        </w:rPr>
        <w:t>）本基金未平仓的期权合约面值不得超过基金资产净值的20%。其中，合约面值按照行权价乘以合约乘数计算；</w:t>
      </w:r>
    </w:p>
    <w:p w14:paraId="534FA7B6" w14:textId="5678F650" w:rsidR="00E77209" w:rsidRDefault="009B3274">
      <w:pPr>
        <w:adjustRightInd w:val="0"/>
        <w:snapToGrid w:val="0"/>
        <w:ind w:firstLineChars="200" w:firstLine="480"/>
        <w:rPr>
          <w:rFonts w:ascii="彩虹粗仿宋" w:eastAsia="彩虹粗仿宋"/>
          <w:sz w:val="24"/>
        </w:rPr>
      </w:pPr>
      <w:r>
        <w:rPr>
          <w:rFonts w:ascii="彩虹粗仿宋" w:eastAsia="彩虹粗仿宋" w:hint="eastAsia"/>
          <w:sz w:val="24"/>
        </w:rPr>
        <w:t>1</w:t>
      </w:r>
      <w:r>
        <w:rPr>
          <w:rFonts w:ascii="彩虹粗仿宋" w:eastAsia="彩虹粗仿宋"/>
          <w:sz w:val="24"/>
        </w:rPr>
        <w:t>7</w:t>
      </w:r>
      <w:r>
        <w:rPr>
          <w:rFonts w:ascii="彩虹粗仿宋" w:eastAsia="彩虹粗仿宋" w:hint="eastAsia"/>
          <w:sz w:val="24"/>
        </w:rPr>
        <w:t>.本基金参与融资业务后，在任何交易日日终，持有的融资买入股票与其他有价证券市值之和，不得超过基金资产净值的95%；</w:t>
      </w:r>
    </w:p>
    <w:p w14:paraId="31E1CA82" w14:textId="5FD2709D" w:rsidR="00E77209" w:rsidRDefault="009B3274">
      <w:pPr>
        <w:adjustRightInd w:val="0"/>
        <w:snapToGrid w:val="0"/>
        <w:ind w:firstLineChars="200" w:firstLine="480"/>
        <w:rPr>
          <w:rFonts w:ascii="彩虹粗仿宋" w:eastAsia="彩虹粗仿宋"/>
          <w:sz w:val="24"/>
        </w:rPr>
      </w:pPr>
      <w:r>
        <w:rPr>
          <w:rFonts w:ascii="彩虹粗仿宋" w:eastAsia="彩虹粗仿宋" w:hint="eastAsia"/>
          <w:sz w:val="24"/>
        </w:rPr>
        <w:t>1</w:t>
      </w:r>
      <w:r>
        <w:rPr>
          <w:rFonts w:ascii="彩虹粗仿宋" w:eastAsia="彩虹粗仿宋"/>
          <w:sz w:val="24"/>
        </w:rPr>
        <w:t>8</w:t>
      </w:r>
      <w:r>
        <w:rPr>
          <w:rFonts w:ascii="彩虹粗仿宋" w:eastAsia="彩虹粗仿宋" w:hint="eastAsia"/>
          <w:sz w:val="24"/>
        </w:rPr>
        <w:t>.法律法规及中国证监会规定的和《基金合同》约定的其他投资限制。</w:t>
      </w:r>
    </w:p>
    <w:p w14:paraId="3E22AB74" w14:textId="53D033AA" w:rsidR="00E77209" w:rsidRDefault="009B3274">
      <w:pPr>
        <w:adjustRightInd w:val="0"/>
        <w:snapToGrid w:val="0"/>
        <w:ind w:firstLineChars="200" w:firstLine="480"/>
        <w:rPr>
          <w:rFonts w:ascii="彩虹粗仿宋" w:eastAsia="彩虹粗仿宋"/>
          <w:sz w:val="24"/>
        </w:rPr>
      </w:pPr>
      <w:r>
        <w:rPr>
          <w:rFonts w:ascii="彩虹粗仿宋" w:eastAsia="彩虹粗仿宋" w:hint="eastAsia"/>
          <w:sz w:val="24"/>
        </w:rPr>
        <w:t>除上述2、9、1</w:t>
      </w:r>
      <w:r>
        <w:rPr>
          <w:rFonts w:ascii="彩虹粗仿宋" w:eastAsia="彩虹粗仿宋"/>
          <w:sz w:val="24"/>
        </w:rPr>
        <w:t>2项情形</w:t>
      </w:r>
      <w:r>
        <w:rPr>
          <w:rFonts w:ascii="彩虹粗仿宋" w:eastAsia="彩虹粗仿宋" w:hint="eastAsia"/>
          <w:sz w:val="24"/>
        </w:rPr>
        <w:t>之外，因证券、期货市场波动、证券发行人合并、基金规模变动等基金管理人之外的因素致使基金投资比例不符合上述规定投资比例的，基金管理人应当在10个交易日内进行调整，但法律法规或监管机构规定的特殊情形除外。法律法规或监管机构另有规定的，从其规定。</w:t>
      </w:r>
    </w:p>
    <w:p w14:paraId="53184CE4" w14:textId="77777777" w:rsidR="00E77209" w:rsidRDefault="009B3274">
      <w:pPr>
        <w:adjustRightInd w:val="0"/>
        <w:snapToGrid w:val="0"/>
        <w:ind w:firstLineChars="200" w:firstLine="480"/>
        <w:rPr>
          <w:rFonts w:ascii="彩虹粗仿宋" w:eastAsia="彩虹粗仿宋"/>
          <w:sz w:val="24"/>
        </w:rPr>
      </w:pPr>
      <w:r>
        <w:rPr>
          <w:rFonts w:ascii="彩虹粗仿宋" w:eastAsia="彩虹粗仿宋" w:hint="eastAsia"/>
          <w:sz w:val="24"/>
        </w:rPr>
        <w:lastRenderedPageBreak/>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始。法律法规或监管部门另有规定的，从其规定。</w:t>
      </w:r>
    </w:p>
    <w:p w14:paraId="664AB92B" w14:textId="77777777" w:rsidR="00E77209" w:rsidRDefault="009B3274">
      <w:pPr>
        <w:adjustRightInd w:val="0"/>
        <w:snapToGrid w:val="0"/>
        <w:ind w:firstLineChars="200" w:firstLine="480"/>
        <w:rPr>
          <w:rFonts w:ascii="彩虹粗仿宋" w:eastAsia="彩虹粗仿宋"/>
          <w:sz w:val="24"/>
        </w:rPr>
      </w:pPr>
      <w:r>
        <w:rPr>
          <w:rFonts w:ascii="彩虹粗仿宋" w:eastAsia="彩虹粗仿宋" w:hint="eastAsia"/>
          <w:sz w:val="24"/>
        </w:rPr>
        <w:t>如果法律法规或监管部门对上述投资组合比例限制进行变更或取消的，如适用于本基金，基金管理人在履行适当程序后，则本基金投资不再受相关限制或以变更后的规定为准。</w:t>
      </w:r>
    </w:p>
    <w:p w14:paraId="5BAE8781"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（三）基金托管人</w:t>
      </w:r>
      <w:bookmarkStart w:id="5" w:name="OLE_LINK1"/>
      <w:r>
        <w:rPr>
          <w:rFonts w:ascii="彩虹粗仿宋" w:eastAsia="彩虹粗仿宋" w:hAnsi="宋体" w:cs="Arial" w:hint="eastAsia"/>
          <w:sz w:val="24"/>
        </w:rPr>
        <w:t>根据有关法律法规的规定及《基金合同》的约定，</w:t>
      </w:r>
      <w:bookmarkEnd w:id="5"/>
      <w:r>
        <w:rPr>
          <w:rFonts w:ascii="彩虹粗仿宋" w:eastAsia="彩虹粗仿宋" w:hAnsi="宋体" w:cs="Arial" w:hint="eastAsia"/>
          <w:sz w:val="24"/>
        </w:rPr>
        <w:t>对本托管协议第十五条第九款基金投资禁止行为通过事后监督方式进行监督。</w:t>
      </w:r>
    </w:p>
    <w:p w14:paraId="51913462"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4A93693F"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法律法规或监管部门取消或变更上述限制，如适用于本基金，基金管理人在履行适当程序后，则本基金投资不再受相关限制或按变更后的规定执行。</w:t>
      </w:r>
    </w:p>
    <w:p w14:paraId="143960F8"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（四）基金托管人根据有关法律法规的规定及《基金合同》的约定，对基金管理人投资流通受限证券进行监督。</w:t>
      </w:r>
    </w:p>
    <w:p w14:paraId="7849BDB7"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int="eastAsia"/>
          <w:sz w:val="24"/>
        </w:rPr>
        <w:t>基金管理人投资流通受限证券，应事先根据中国证监会相关规定，明确基金投资流通受限证券的比例，</w:t>
      </w:r>
      <w:r>
        <w:rPr>
          <w:rFonts w:ascii="彩虹粗仿宋" w:eastAsia="彩虹粗仿宋" w:hAnsi="宋体" w:cs="Arial" w:hint="eastAsia"/>
          <w:sz w:val="24"/>
        </w:rPr>
        <w:t>制订严格的投资决策流程和风险控制制度，防范流动性风险、法律风险和操作风险等各种风险。</w:t>
      </w:r>
    </w:p>
    <w:p w14:paraId="40001B74"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1.本基金</w:t>
      </w:r>
      <w:r>
        <w:rPr>
          <w:rFonts w:ascii="彩虹粗仿宋" w:eastAsia="彩虹粗仿宋" w:hint="eastAsia"/>
          <w:sz w:val="24"/>
        </w:rPr>
        <w:t>投资的流通受限证券须为经中国证监会批准或注册的非公开发行股票、公开发行股票网下配售部分</w:t>
      </w:r>
      <w:r>
        <w:rPr>
          <w:rFonts w:ascii="彩虹粗仿宋" w:eastAsia="彩虹粗仿宋" w:hAnsi="宋体" w:cs="Arial" w:hint="eastAsia"/>
          <w:sz w:val="24"/>
        </w:rPr>
        <w:t>等在发行时明确一定期限锁定期的可交易证券，不包括由于发布重大消息或其他原因而临时停牌的证券、已发行未上市证券、回购交易中的质押券等流通受限证券。本基金不投资有锁定期但锁定期不明确的证券。</w:t>
      </w:r>
    </w:p>
    <w:p w14:paraId="5F2A0249"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本基金投资的流通受限证券限于可由中国证券登记结算有限责任公司或中央国债登记结算有限责任公司负责登记和存管，并可在证券交易所或全国银行间债券市场交易的证券。</w:t>
      </w:r>
    </w:p>
    <w:p w14:paraId="384F7FA2"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基金投资的流通受限证券应保证登记存管在本基金名下，基金管理人负责相关工作的落实和协调，并确保基金托管人能够正常查询。因基金管理人原因产生的流通受限证券登记存管问题，造成基金托管人无法安全</w:t>
      </w:r>
      <w:r>
        <w:rPr>
          <w:rFonts w:ascii="彩虹粗仿宋" w:eastAsia="彩虹粗仿宋" w:hint="eastAsia"/>
          <w:sz w:val="24"/>
        </w:rPr>
        <w:t>保管本基金资产的责任与损失，及因流通受限证券存管直接影响本基金安全的责任及损失，基金托管人不承担任何责任。</w:t>
      </w:r>
      <w:r>
        <w:rPr>
          <w:rFonts w:ascii="彩虹粗仿宋" w:eastAsia="彩虹粗仿宋" w:hAnsi="宋体" w:cs="Arial" w:hint="eastAsia"/>
          <w:sz w:val="24"/>
        </w:rPr>
        <w:t>本基金</w:t>
      </w:r>
      <w:r>
        <w:rPr>
          <w:rFonts w:ascii="彩虹粗仿宋" w:eastAsia="彩虹粗仿宋" w:hint="eastAsia"/>
          <w:sz w:val="24"/>
        </w:rPr>
        <w:t>投</w:t>
      </w:r>
      <w:r>
        <w:rPr>
          <w:rFonts w:ascii="彩虹粗仿宋" w:eastAsia="彩虹粗仿宋" w:hAnsi="宋体" w:cs="Arial" w:hint="eastAsia"/>
          <w:sz w:val="24"/>
        </w:rPr>
        <w:t>资流通受限证券，不得预付任何形式的保证金。若有最新法律法规、监管政策变更规定的，根据最新法律法规、监管政策执行。</w:t>
      </w:r>
    </w:p>
    <w:p w14:paraId="5CE032FB"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管理人投资非公开发行股票，应制订流动性风险处置预案并经其董事会批准。风险处置预案应包括但不限于因投资流通受限证券需要解决的基金投资比例限制失调、基金流动性困难以及相关损失的应对解决措施，以及有关异常情况的处置。</w:t>
      </w:r>
    </w:p>
    <w:p w14:paraId="2010ABD1" w14:textId="65DC3713"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承担所有损失。对本基金因投资流通受</w:t>
      </w:r>
      <w:r>
        <w:rPr>
          <w:rFonts w:ascii="彩虹粗仿宋" w:eastAsia="彩虹粗仿宋" w:hAnsi="宋体" w:cs="Arial" w:hint="eastAsia"/>
          <w:sz w:val="24"/>
        </w:rPr>
        <w:lastRenderedPageBreak/>
        <w:t>限证券导致的流动性风险，基金托管人不承担任何责任。如因基金管理人原因导致本基金出现损失致使基金托管人承担连带赔偿责任的，基金管理人应赔偿基金托管人由此遭受的损失。</w:t>
      </w:r>
    </w:p>
    <w:p w14:paraId="4F2C2DEA"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本基金投资非公开发行股票，基金管理人应至少于投资前三个工作日向基金托管人提交有关书面资料，并保证向基金托管人提供的有关资料真实、准确、完整。有关资料如有调整，基金管理人应及时提供调整后的资料。上述书面资料包括但不限于：</w:t>
      </w:r>
    </w:p>
    <w:p w14:paraId="6CEA53BB" w14:textId="4C39C73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（1）中国证监会批准或注册发行非公开发行股票的文件。</w:t>
      </w:r>
    </w:p>
    <w:p w14:paraId="749B1215"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（2）非公开发行股票有关发行数量、发行价格、锁定期等发行资料。</w:t>
      </w:r>
    </w:p>
    <w:p w14:paraId="7C11B838"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sz w:val="24"/>
        </w:rPr>
        <w:t>3</w:t>
      </w:r>
      <w:r>
        <w:rPr>
          <w:rFonts w:ascii="彩虹粗仿宋" w:eastAsia="彩虹粗仿宋" w:hAnsi="宋体" w:cs="Arial" w:hint="eastAsia"/>
          <w:sz w:val="24"/>
        </w:rPr>
        <w:t>）基金拟认购的数量、价格、总成本、账面价值。</w:t>
      </w:r>
    </w:p>
    <w:p w14:paraId="4ED541A4"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基金管理人应在本基金投资非公开发行股票后两个交易日内，在中国证监会规定媒介披露所投资非公开发行股票的名称、数量、总成本、账面价值，以及总成本和账面价值占基金资产净值的比例、锁定期等信息。</w:t>
      </w:r>
    </w:p>
    <w:p w14:paraId="66440FCF"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本基金有关投资流通受限证券比例如违反有关限制规定，在合理期限内未能进行及时调整，基金管理人应在两日内编制临时报告书，予以公告。</w:t>
      </w:r>
    </w:p>
    <w:p w14:paraId="3D948204"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5.相关法律法规对基金投资流通受限证券有新规定的，从其规定。</w:t>
      </w:r>
    </w:p>
    <w:p w14:paraId="054C964B"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五）基金托管人根据有关法律法规的规定及《基金合同》的约定，对基金资产净值计算、各类基金份额净值计算、应收资金到账、基金费用开支及收入确定、基金收益分配、相关信息披露、基金宣传推介材料中登载基金业绩表现数据等进行监督和核查。</w:t>
      </w:r>
    </w:p>
    <w:p w14:paraId="662E6F9E" w14:textId="67AD9CAF" w:rsidR="00E77209" w:rsidRPr="002D1D7D"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（六）</w:t>
      </w:r>
      <w:r w:rsidRPr="002D1D7D">
        <w:rPr>
          <w:rFonts w:ascii="彩虹粗仿宋" w:eastAsia="彩虹粗仿宋" w:hAnsi="宋体" w:cs="Arial" w:hint="eastAsia"/>
          <w:sz w:val="24"/>
        </w:rPr>
        <w:t>基金托管人投资监督的准确性和完整性受限于基金管理人、</w:t>
      </w:r>
      <w:r w:rsidR="002D1D7D" w:rsidRPr="002D1D7D">
        <w:rPr>
          <w:rFonts w:ascii="彩虹粗仿宋" w:eastAsia="彩虹粗仿宋" w:hAnsi="宋体" w:cs="Arial" w:hint="eastAsia"/>
          <w:sz w:val="24"/>
        </w:rPr>
        <w:t>证券经纪机构</w:t>
      </w:r>
      <w:r w:rsidRPr="002D1D7D">
        <w:rPr>
          <w:rFonts w:ascii="彩虹粗仿宋" w:eastAsia="彩虹粗仿宋" w:hAnsi="宋体" w:cs="Arial" w:hint="eastAsia"/>
          <w:sz w:val="24"/>
        </w:rPr>
        <w:t>及其他中介机构提供的数据和信息。基金托管人在充分获取所必需数据信息的前提下提供投资监督服务。</w:t>
      </w:r>
    </w:p>
    <w:p w14:paraId="1E7CFF54"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在下一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14:paraId="3C5C07D1"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七）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14:paraId="31A4AFA6"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（八）若基金托管人发现基金管理人依据交易程序已经生效的指令违反法律、行政法规和其他有关规定，或者违反《基金合同》约定的，应当及时通知基金管理人，由此造成的损失由基金管理人承担。</w:t>
      </w:r>
    </w:p>
    <w:p w14:paraId="15F33B2A"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九）基金托管人发现基金管理人有重大违规行为，应及时报告中国证监会，同时通知基金管理人限期纠正，并将纠正结果报告中国证监会。基金管理人无正当理由，拒绝、阻挠对方根据本托管协议规定行使监督权，或采取拖延、欺诈等手段妨碍对方进行有效监督，情节严重或经基金托管人提出警告仍不改正的，基金托管人应报告中国证监会。</w:t>
      </w:r>
    </w:p>
    <w:p w14:paraId="2F317527"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lastRenderedPageBreak/>
        <w:t>（十）当基金持有特定资产且存在或潜在大额赎回申请时，根据最大限度保护基金份额持有人利益的原则，基金管理人经与基金托管人协商一致，并向符合《中华人民共和国证券法》规定的会计师事务所咨询专业意见后，可以依照法律法规及基金合同的约定启用侧袋机制，无需召开基金份额持有人大会审议。</w:t>
      </w:r>
    </w:p>
    <w:p w14:paraId="17682A2B"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依照相关法律法规的规定和基金合同的约定，对侧袋机制启用、特定资产处置和信息披露等方面进行复核和监督。侧袋机制实施期间的具体规则依照相关法律法规的规定、基金合同和招募说明书的约定执行。</w:t>
      </w:r>
    </w:p>
    <w:p w14:paraId="122674A9" w14:textId="77777777" w:rsidR="00E77209" w:rsidRDefault="00E77209">
      <w:pPr>
        <w:rPr>
          <w:rFonts w:ascii="彩虹粗仿宋" w:eastAsia="彩虹粗仿宋"/>
          <w:sz w:val="24"/>
        </w:rPr>
      </w:pPr>
    </w:p>
    <w:p w14:paraId="68564458" w14:textId="77777777" w:rsidR="00E77209" w:rsidRDefault="009B3274">
      <w:pPr>
        <w:pStyle w:val="2"/>
        <w:jc w:val="center"/>
        <w:rPr>
          <w:rFonts w:ascii="彩虹粗仿宋" w:eastAsia="彩虹粗仿宋"/>
          <w:sz w:val="30"/>
        </w:rPr>
      </w:pPr>
      <w:bookmarkStart w:id="6" w:name="_Toc86726439"/>
      <w:bookmarkStart w:id="7" w:name="_Toc86737929"/>
      <w:bookmarkStart w:id="8" w:name="_Toc119402710"/>
      <w:bookmarkStart w:id="9" w:name="_Toc110765660"/>
      <w:bookmarkStart w:id="10" w:name="_Toc120435783"/>
      <w:bookmarkStart w:id="11" w:name="_Toc86225291"/>
      <w:bookmarkStart w:id="12" w:name="_Toc118212950"/>
      <w:bookmarkStart w:id="13" w:name="_Toc86727355"/>
      <w:bookmarkStart w:id="14" w:name="_Toc110761796"/>
      <w:bookmarkStart w:id="15" w:name="_Toc108512358"/>
      <w:bookmarkStart w:id="16" w:name="_Toc110830492"/>
      <w:bookmarkStart w:id="17" w:name="_Toc86649722"/>
      <w:bookmarkStart w:id="18" w:name="_Toc86223242"/>
      <w:bookmarkStart w:id="19" w:name="_Toc89163368"/>
      <w:bookmarkStart w:id="20" w:name="_Toc124325888"/>
      <w:bookmarkStart w:id="21" w:name="_Toc118972648"/>
      <w:bookmarkStart w:id="22" w:name="_Toc118774803"/>
      <w:r>
        <w:rPr>
          <w:rFonts w:ascii="彩虹粗仿宋" w:eastAsia="彩虹粗仿宋" w:hint="eastAsia"/>
          <w:sz w:val="30"/>
        </w:rPr>
        <w:t>四、基金管理人对基金托管人的业务核查</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5088D2B6"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一）基金管理人对基金托管人履行托管职责情况进行核查，核查事项包括基金托管人安全保管基金财产、开设基金财产的资金账户和证券账户等投资所需账户、复核基金管理人计算的基金资产净值和各类基金份额净值、根据基金管理人指令办理清算交收、相关信息披露和监督基金投资运作等行为。</w:t>
      </w:r>
    </w:p>
    <w:p w14:paraId="2C087BCA"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在下一工作日前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托管财产的完整性和真实性，在规定时间内答复基金管理人并改正。</w:t>
      </w:r>
    </w:p>
    <w:p w14:paraId="5C81CEE5"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三）基金管理人发现基金托管人有重大违规行为，应及时报告中国证监会，同时通知基金托管人限期纠正，并将纠正结果报告中国证监会。基金托管人无正当理由，拒绝、阻挠对方根据本协议规定行使监督权，或采取拖延、欺诈等手段妨碍对方进行有效监督，情节严重或经基金管理人提出警告仍不改正的，基金管理人应报告中国证监会。</w:t>
      </w:r>
    </w:p>
    <w:p w14:paraId="7AEB1136" w14:textId="77777777" w:rsidR="00E77209" w:rsidRDefault="00E77209">
      <w:pPr>
        <w:rPr>
          <w:rFonts w:ascii="彩虹粗仿宋" w:eastAsia="彩虹粗仿宋"/>
          <w:sz w:val="24"/>
        </w:rPr>
      </w:pPr>
    </w:p>
    <w:p w14:paraId="270045A5" w14:textId="77777777" w:rsidR="00E77209" w:rsidRDefault="009B3274">
      <w:pPr>
        <w:pStyle w:val="2"/>
        <w:jc w:val="center"/>
        <w:rPr>
          <w:rFonts w:ascii="彩虹粗仿宋" w:eastAsia="彩虹粗仿宋"/>
          <w:sz w:val="30"/>
        </w:rPr>
      </w:pPr>
      <w:bookmarkStart w:id="23" w:name="_Toc86225292"/>
      <w:bookmarkStart w:id="24" w:name="_Toc120435784"/>
      <w:bookmarkStart w:id="25" w:name="_Toc84234388"/>
      <w:bookmarkStart w:id="26" w:name="_Toc86727356"/>
      <w:bookmarkStart w:id="27" w:name="_Toc108512359"/>
      <w:bookmarkStart w:id="28" w:name="_Toc89163369"/>
      <w:bookmarkStart w:id="29" w:name="_Toc86204789"/>
      <w:bookmarkStart w:id="30" w:name="_Toc86223243"/>
      <w:bookmarkStart w:id="31" w:name="_Toc118774804"/>
      <w:bookmarkStart w:id="32" w:name="_Toc86726440"/>
      <w:bookmarkStart w:id="33" w:name="_Toc84234435"/>
      <w:bookmarkStart w:id="34" w:name="_Toc124325889"/>
      <w:bookmarkStart w:id="35" w:name="_Toc118972649"/>
      <w:bookmarkStart w:id="36" w:name="_Toc110761797"/>
      <w:bookmarkStart w:id="37" w:name="_Toc86649723"/>
      <w:bookmarkStart w:id="38" w:name="_Toc110765661"/>
      <w:bookmarkStart w:id="39" w:name="_Toc119402711"/>
      <w:bookmarkStart w:id="40" w:name="_Toc84133786"/>
      <w:bookmarkStart w:id="41" w:name="_Toc118212951"/>
      <w:bookmarkStart w:id="42" w:name="_Toc110830493"/>
      <w:bookmarkStart w:id="43" w:name="_Toc86737930"/>
      <w:r>
        <w:rPr>
          <w:rFonts w:ascii="彩虹粗仿宋" w:eastAsia="彩虹粗仿宋" w:hint="eastAsia"/>
          <w:sz w:val="30"/>
        </w:rPr>
        <w:t>五、基金财产的保管</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507C9CB0"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（一）基金财产保管的原则</w:t>
      </w:r>
    </w:p>
    <w:p w14:paraId="5793EC4B"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1.基金财产应独立于基金管理人、基金托管人的固有财产。</w:t>
      </w:r>
    </w:p>
    <w:p w14:paraId="60DCE9B6"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2.基金托管人应安全保管基金财产。</w:t>
      </w:r>
    </w:p>
    <w:p w14:paraId="15FEDD9C"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3.基金托管人按照规定开设基金财产的资金账户和证券账户等投资所需的相关账户。</w:t>
      </w:r>
    </w:p>
    <w:p w14:paraId="6D887220"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4.基金托管人对所托管的不同基金财产分别设置账户，确保基金财产的完整与独立。</w:t>
      </w:r>
    </w:p>
    <w:p w14:paraId="268F2844"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5.基金托管人按照《基金合同》和本协议的约定保管基金财产，如有特殊情况双方可另行协商解决。基金</w:t>
      </w:r>
      <w:r>
        <w:rPr>
          <w:rFonts w:ascii="彩虹粗仿宋" w:eastAsia="彩虹粗仿宋" w:hint="eastAsia"/>
          <w:sz w:val="24"/>
        </w:rPr>
        <w:t>托管人未经基金管理人的指令，不得自行运用、处分、分配本基金的任何资产（不包含基金托管人依据中国证券登记结算有限责任公司</w:t>
      </w:r>
      <w:r>
        <w:rPr>
          <w:rFonts w:ascii="彩虹粗仿宋" w:eastAsia="彩虹粗仿宋" w:hint="eastAsia"/>
          <w:sz w:val="24"/>
        </w:rPr>
        <w:lastRenderedPageBreak/>
        <w:t>结算数据完成场内交易交收、开户银行或交易/登记结算机构扣收交易费、结算费和账户维护费等费用）。</w:t>
      </w:r>
    </w:p>
    <w:p w14:paraId="5D088F3E"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6.对于因为基金投资产生的应收资产，应由基金管理人负责与有关当事人确定到账日期并通知基金托管人，到账日基金财产没有到达基金托管资金账户的，基金托管人应及时通知基金管理人采取措施进行催收。由此给基金财产造成损失的，基金管理人应负责向有关当事人追偿基金财产的损失，基金托管人对此不承担任何责任，但基金托管人应予以必要的协助与配合。</w:t>
      </w:r>
    </w:p>
    <w:p w14:paraId="4E5B07D2"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7.除依据法律法规和《基金合同》的规定外，基金托管人不得委托第三人托管基金财产。</w:t>
      </w:r>
    </w:p>
    <w:p w14:paraId="1547E765"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（二）基金募集期间及募集资金的验资</w:t>
      </w:r>
    </w:p>
    <w:p w14:paraId="0284DAF2"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1.基金募集期间募集的资金应存于基金管理人在基金托管人的营业机构开立的“基金募集专户”。该账户由基金管理人开立并管理。</w:t>
      </w:r>
    </w:p>
    <w:p w14:paraId="3DD033CE"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基金募集期满或基金停止募集时，募集的基金份额总额、基金募集金额、基金份额持有人人数符合《基金法》、《运作办法》等有关规定后，基金管理人应将属于基金财产的全部资金划入基金托管人开立的基金托管资金账户，同时在规定时间内，聘请符合《中华人民共和国证券法》规定的会计师事务所进行验资，出具验资报告。出具的验资报告由参加验资的2名或2名以上中国注册会计师签字方为有效。</w:t>
      </w:r>
    </w:p>
    <w:p w14:paraId="77604106"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3.若基金募集期限届满，未能达到《基金合同》生效的条件，由基金管理人按规定办理退款等事宜，基金托管人应予以必要的协助与配合。</w:t>
      </w:r>
    </w:p>
    <w:p w14:paraId="42AB7632"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（三）基金托管资金账户的开立和管理</w:t>
      </w:r>
    </w:p>
    <w:p w14:paraId="46E22F1C"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基金托管人可以基金的名义在其营业机构开立基金的托管资金账户，并根据基金管理人合法合规的指令办理资金收付。户名原则上应当包含开户主体和产品名称字样。如法律法规或监管部门另有规定的，从其规定。本基金的银行预留印鉴由基金托管人保管和使用。</w:t>
      </w:r>
    </w:p>
    <w:p w14:paraId="2DC0A2B8"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2.基金托管资金账户的开立和使用，限于满足开展本基金业务的需要。基金托管人和基金管理人不得假借本基金的名义开立任何其他托管资金账户；亦不得使用基金的任何账户进行本基金业务以外的活动。</w:t>
      </w:r>
    </w:p>
    <w:p w14:paraId="522F3F0A"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3.基金托管资金账户的开立和管理应符合银行业监督管理机构的有关规定。</w:t>
      </w:r>
    </w:p>
    <w:p w14:paraId="7992466F"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4.在符合法律法规规定的条件下，基金托管人可以通过基金托管人专用账户办理基金资产的支付。</w:t>
      </w:r>
    </w:p>
    <w:p w14:paraId="7BA50E6D" w14:textId="10A9DFE2"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5.基金管理人应于本基金到期后及时完成收益兑付、费用结清及其他应收应付款项资金划转，在确保后续不再发生款项进出后的10个工作日内向托管人发出销户申请。</w:t>
      </w:r>
    </w:p>
    <w:p w14:paraId="0627606A"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（四）基金证券账户和结算备付金账户的开立和管理</w:t>
      </w:r>
    </w:p>
    <w:p w14:paraId="2FAA7CE1"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1.基金托管人在中国证券登记结算有限责任公司为基金开立基金托管人与基金联名的证券账户。</w:t>
      </w:r>
    </w:p>
    <w:p w14:paraId="3A858A52"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14:paraId="301849AD"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3.基金证券账户的开立和证券账户卡的保管由基金托管人负责，账户资产的管理和运用由基金管理人负责。</w:t>
      </w:r>
    </w:p>
    <w:p w14:paraId="2ECF3C2E" w14:textId="5FFE9540"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证券账户开户费由基金管理人先行垫付,待</w:t>
      </w:r>
      <w:r>
        <w:rPr>
          <w:rFonts w:ascii="彩虹粗仿宋" w:eastAsia="彩虹粗仿宋" w:hAnsi="宋体" w:cs="Arial"/>
          <w:sz w:val="24"/>
        </w:rPr>
        <w:t>本基金</w:t>
      </w:r>
      <w:r>
        <w:rPr>
          <w:rFonts w:ascii="彩虹粗仿宋" w:eastAsia="彩虹粗仿宋" w:hAnsi="宋体" w:cs="Arial" w:hint="eastAsia"/>
          <w:sz w:val="24"/>
        </w:rPr>
        <w:t>启始运营后,基金管理人可向基金托管人发送划款指令,将代垫开户费从本基金托管资金账户中扣还基金管</w:t>
      </w:r>
      <w:r>
        <w:rPr>
          <w:rFonts w:ascii="彩虹粗仿宋" w:eastAsia="彩虹粗仿宋" w:hAnsi="宋体" w:cs="Arial" w:hint="eastAsia"/>
          <w:sz w:val="24"/>
        </w:rPr>
        <w:lastRenderedPageBreak/>
        <w:t>理人。</w:t>
      </w:r>
    </w:p>
    <w:p w14:paraId="5F446B61"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基金托管人以基金托管人的名义在中国证券登记结算有限责任公司开立结算备付金账户，并代表所托管的基金完成与中国证券登记结算有限责任公司的一级法人清算工作，基金管理人应予以积极协助。结算备付金、结算保证金、交收资金等的收取按照中国证券登记结算有限责任公司的规定以及基金管理人与基金托管人签署的《托管银行证券资金结算协议》（以实际名称为准）执行。</w:t>
      </w:r>
    </w:p>
    <w:p w14:paraId="5ED84AB1"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5.账户注销时，在遵守中国证券登记结算有限责任公司的相关规定下，由管理人和托管人协商确认主要办理人。账户注销期间，主要办理人如需另一方提供配合的，另一方应予以配合。</w:t>
      </w:r>
    </w:p>
    <w:p w14:paraId="2AB65C11"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6.若中国证监会或其他监管机构在本托管协议订立日之后允许基金从事其他投资品种的投资业务，涉及相关账户的开立、使用的，若无相关规定，则基金托管人比照上述关于账户开立、使用的规定执行。</w:t>
      </w:r>
    </w:p>
    <w:p w14:paraId="30F6C401"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（五）银行间账户的开设和管理</w:t>
      </w:r>
    </w:p>
    <w:p w14:paraId="05CA2D50"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合同》生效后，基金管理人负责以基金的名义申请并取得进入全国银行间同业拆借市场的交易资格，并代表基金进行交易；基金托管人根据中国人民银行、银行间市场登记结算机构的有关规定，在银行间市场登记结算机构开立债券托管账户和资金结算专户，并代表基金进行银行间市场债券的结算。基金管理人代表基金签订全国银行间债券市场债券回购主协议。</w:t>
      </w:r>
    </w:p>
    <w:p w14:paraId="38390C76"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（六）期货账户的开设和管理</w:t>
      </w:r>
    </w:p>
    <w:p w14:paraId="7F9FDFC2"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应当代表本基金，按照相关规定配合期货经纪商开立期货结算账户、期货资金账户，并在中国金融期货交易所获取交易编码。期货结算账户名称、期货资金账户名称及交易编码对应名称应按照有关规定设立，具体根据签署的《期货投资托管操作三方备忘录》（以实际名称为准）开立和管理。</w:t>
      </w:r>
    </w:p>
    <w:p w14:paraId="541C7334"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基金期货结算账户和期货资金账户的开立和使用，限于满足开展本基金业务的需要。基金托管人和基金管理人不得出借和未经对方同意擅自转让基金的任何期货结算账户和期货资金账户。</w:t>
      </w:r>
    </w:p>
    <w:p w14:paraId="627C6DC0"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（七）其他账户的开立和管理</w:t>
      </w:r>
    </w:p>
    <w:p w14:paraId="5A8B531D"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在本托管协议订立日之后，本基金被允许从事符合法律法规规定和《基金合同》约定的其他投资品种的投资业务时，如果涉及相关账户的开设和使用，由基金管理人协助基金托管人根据有关法律法规的规定和《基金合同》以及本托管协议的约定，开立有关账户。该账户按有关规则使用并管理。</w:t>
      </w:r>
    </w:p>
    <w:p w14:paraId="2E005CBF"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2.法律法规等有关规定对相关账户的开立和管理另有规定的，从其规定办理。</w:t>
      </w:r>
    </w:p>
    <w:p w14:paraId="5EF2E3BA"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（八）基金财产投资的有关有价凭证等的保管</w:t>
      </w:r>
    </w:p>
    <w:p w14:paraId="27173655" w14:textId="44B0A246" w:rsidR="00E77209" w:rsidRDefault="009B3274">
      <w:pPr>
        <w:adjustRightInd w:val="0"/>
        <w:snapToGrid w:val="0"/>
        <w:ind w:firstLineChars="200" w:firstLine="480"/>
        <w:rPr>
          <w:rFonts w:ascii="彩虹粗仿宋" w:eastAsia="彩虹粗仿宋" w:hAnsi="宋体" w:cs="Arial"/>
        </w:rPr>
      </w:pPr>
      <w:r>
        <w:rPr>
          <w:rFonts w:ascii="彩虹粗仿宋" w:eastAsia="彩虹粗仿宋" w:hAnsi="宋体" w:cs="Arial" w:hint="eastAsia"/>
          <w:sz w:val="24"/>
        </w:rPr>
        <w:t>基金财产投资的有关实物证券、银行</w:t>
      </w:r>
      <w:r>
        <w:rPr>
          <w:rFonts w:ascii="彩虹粗仿宋" w:eastAsia="彩虹粗仿宋" w:hint="eastAsia"/>
          <w:sz w:val="24"/>
        </w:rPr>
        <w:t>存款开户证实书</w:t>
      </w:r>
      <w:r>
        <w:rPr>
          <w:rFonts w:ascii="彩虹粗仿宋" w:eastAsia="彩虹粗仿宋" w:hAnsi="宋体" w:cs="Arial" w:hint="eastAsia"/>
          <w:sz w:val="24"/>
        </w:rPr>
        <w:t>等有价凭证由基金托管人存放于基金托管人的保管库，也可存入法律法规规定允许的各类代保管库，保管凭证由基金托管人持有。实物证券、银行定期存款证实书等有价凭证的购买和转让，按基金管理人和基金托管人双方约定办理。基金托管人对由基金托管人以外机构实际有效控制或保管的资产不承担任何责任。</w:t>
      </w:r>
    </w:p>
    <w:p w14:paraId="408C139A"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（九）与基金财产有关的重大合同的保管</w:t>
      </w:r>
    </w:p>
    <w:p w14:paraId="58D8C1AD" w14:textId="1DE49451" w:rsidR="00E77209" w:rsidRDefault="009B3274">
      <w:pPr>
        <w:adjustRightInd w:val="0"/>
        <w:snapToGrid w:val="0"/>
        <w:ind w:firstLineChars="200" w:firstLine="480"/>
        <w:rPr>
          <w:rFonts w:ascii="彩虹粗仿宋" w:eastAsia="彩虹粗仿宋"/>
          <w:sz w:val="30"/>
          <w:szCs w:val="30"/>
        </w:rPr>
      </w:pPr>
      <w:r>
        <w:rPr>
          <w:rFonts w:ascii="彩虹粗仿宋" w:eastAsia="彩虹粗仿宋" w:hAnsi="宋体" w:cs="Arial" w:hint="eastAsia"/>
          <w:sz w:val="24"/>
        </w:rPr>
        <w:t>与基金财产有关的重大合同的签署，由基金管理人负责。由基金管理人代表基金签署的、与基金财产有关的重大合同的原件分别由基金管理人、基金托管人保管。除本协议另有规定外，基金管理人代表基金签署的与基金财产有关的重大合同包括但不限于基金年度审计合同、基金信息披露协议及基金投资业务中产生的重大合同，基金管理人应尽量保证基金管理人和基金托管人至少各持有一份正本的原</w:t>
      </w:r>
      <w:r>
        <w:rPr>
          <w:rFonts w:ascii="彩虹粗仿宋" w:eastAsia="彩虹粗仿宋" w:hAnsi="宋体" w:cs="Arial" w:hint="eastAsia"/>
          <w:sz w:val="24"/>
        </w:rPr>
        <w:lastRenderedPageBreak/>
        <w:t>件。基金管理人应在重大合同签署后及时以加密方式将重大合同传真给基金托管人，并在三十个工作日内将正本送达基金托管人处。重大合同的保存期限按照法律法规的规定执行。对于无法取得两份以上的正本的，基金管理人将向基金托管人提供加盖公章的合同复印件或传真件，未经双方协商一致，合同原件不得转移。</w:t>
      </w:r>
    </w:p>
    <w:p w14:paraId="03FF8993" w14:textId="77777777" w:rsidR="00E77209" w:rsidRDefault="00E77209">
      <w:pPr>
        <w:rPr>
          <w:rFonts w:ascii="彩虹粗仿宋" w:eastAsia="彩虹粗仿宋"/>
          <w:sz w:val="24"/>
        </w:rPr>
      </w:pPr>
    </w:p>
    <w:p w14:paraId="7D4D87D1" w14:textId="77777777" w:rsidR="00E77209" w:rsidRDefault="009B3274">
      <w:pPr>
        <w:pStyle w:val="2"/>
        <w:jc w:val="center"/>
        <w:rPr>
          <w:rFonts w:ascii="彩虹粗仿宋" w:eastAsia="彩虹粗仿宋"/>
          <w:sz w:val="30"/>
        </w:rPr>
      </w:pPr>
      <w:bookmarkStart w:id="44" w:name="_Toc110761798"/>
      <w:bookmarkStart w:id="45" w:name="_Toc89163370"/>
      <w:bookmarkStart w:id="46" w:name="_Toc119402712"/>
      <w:bookmarkStart w:id="47" w:name="_Toc86726441"/>
      <w:bookmarkStart w:id="48" w:name="_Toc86649724"/>
      <w:bookmarkStart w:id="49" w:name="_Toc84234436"/>
      <w:bookmarkStart w:id="50" w:name="_Toc84234389"/>
      <w:bookmarkStart w:id="51" w:name="_Toc118774805"/>
      <w:bookmarkStart w:id="52" w:name="_Toc84133787"/>
      <w:bookmarkStart w:id="53" w:name="_Toc110830494"/>
      <w:bookmarkStart w:id="54" w:name="_Toc86204790"/>
      <w:bookmarkStart w:id="55" w:name="_Toc86223244"/>
      <w:bookmarkStart w:id="56" w:name="_Toc118212952"/>
      <w:bookmarkStart w:id="57" w:name="_Toc86727357"/>
      <w:bookmarkStart w:id="58" w:name="_Toc86737931"/>
      <w:bookmarkStart w:id="59" w:name="_Toc108512360"/>
      <w:bookmarkStart w:id="60" w:name="_Toc86225293"/>
      <w:bookmarkStart w:id="61" w:name="_Toc124325890"/>
      <w:bookmarkStart w:id="62" w:name="_Toc120435785"/>
      <w:bookmarkStart w:id="63" w:name="_Toc110765662"/>
      <w:bookmarkStart w:id="64" w:name="_Toc118972650"/>
      <w:r>
        <w:rPr>
          <w:rFonts w:ascii="彩虹粗仿宋" w:eastAsia="彩虹粗仿宋" w:hint="eastAsia"/>
          <w:sz w:val="30"/>
        </w:rPr>
        <w:t>六、指令的发送、确认及执行</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22605EB4"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基金管理人在运用基金财产时向基金托管人发送资金划拨及其他款项付款指令，基金托管人执行基金管理人的指令、办理基金名下的资金往来等有关事项。</w:t>
      </w:r>
    </w:p>
    <w:p w14:paraId="661DE9F1"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（一）基金管理人对发送指令人员的书面授权</w:t>
      </w:r>
    </w:p>
    <w:p w14:paraId="24A4B87D" w14:textId="651AB9D8"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本协议签署生效后，管理人应向托管人提供授权代表签字与印鉴样本通知书（以下简称“授权文件”），内容包括被授权人名单、预留印鉴及被授权人签字样本，授权文件应注明被授权人相应的权限，授权文件应加盖单位公章。</w:t>
      </w:r>
    </w:p>
    <w:p w14:paraId="5E466980"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管理人应将“授权文件”原件在生效前寄送托管人，托管人在收到授权文件原件并经管理人确认后，授权文件即生效。如果授权文件中载明具体生效时间的，该生效时间不得早于托管人收到授权文件并经确认的时点。如早于，则以托管人收到授权文件并经确认的时点为授权文件的生效时间。</w:t>
      </w:r>
    </w:p>
    <w:p w14:paraId="4E4A4863"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特殊情况下，经托管人同意，管理人可至少提前一个工作日将授权文件以邮件发送扫描件的方式先行通知托管人并确认生效。授权文件原件应在邮件发送后7个工作日内送达托管人。授权文件生效之后，原件送达之前，托管人按照新授权文件扫描件内容执行有关业务，如果授权文件原件与托管人收到的扫描件不同，由此产生的责任由管理人承担。</w:t>
      </w:r>
    </w:p>
    <w:p w14:paraId="12C7E598"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管理人更换被授权人、更改或终止对被授权人的授权、变更预留印鉴应按上述要求提供新的授权文件。在授权变更生效前，托管人仍应按原授权文件执行指令，管理人不得否认其效力。</w:t>
      </w:r>
    </w:p>
    <w:p w14:paraId="51AA2BC6" w14:textId="59C6E76A"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托管人更换接收管理人指令的传真号或邮箱地址，应提前通知管理人。基金管理人和基金托管人对授权文件负有保密义务，其内容不得向被授权人及相关操作人员以外的任何人泄露。但法律法规规定或有权机关要求的除外。</w:t>
      </w:r>
    </w:p>
    <w:p w14:paraId="1D9E97C9"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（二）指令的内容</w:t>
      </w:r>
    </w:p>
    <w:p w14:paraId="6831BD27"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1.指令包括付款指令以及其他资金划拨指令等。</w:t>
      </w:r>
    </w:p>
    <w:p w14:paraId="573277C7"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2.基金管理人发给基金托管人的指令应写明款项事由、支付时间、到账时间、金额、收付款账户等，加盖预留印鉴并由被授权人签字。</w:t>
      </w:r>
    </w:p>
    <w:p w14:paraId="4629FBBD"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（三）指令的发送、确认及执行的时间和程序</w:t>
      </w:r>
    </w:p>
    <w:p w14:paraId="53AB5175"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1.指令的发送</w:t>
      </w:r>
    </w:p>
    <w:p w14:paraId="6E60E080"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基金管理人发送指令应采用传真方式或双方协商一致的其他方式。</w:t>
      </w:r>
    </w:p>
    <w:p w14:paraId="15917707"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的授权，并且基金托管人根据本协议确认后，则对于此后该被授权人无权发送的指令，或超权限发送的指令，基金管理人不承担责任，授权已更改但未经基金托管人确认的情况除外。</w:t>
      </w:r>
    </w:p>
    <w:p w14:paraId="08900A02"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指令发出后，基金管理人应及时以电话方式向基金托管人确认。</w:t>
      </w:r>
    </w:p>
    <w:p w14:paraId="18DCA6A0"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hint="eastAsia"/>
          <w:sz w:val="24"/>
        </w:rPr>
        <w:t>基金管理人应在银行间交易成交后，及时将通知单、相关文件及划款指令加盖</w:t>
      </w:r>
      <w:r>
        <w:rPr>
          <w:rFonts w:ascii="彩虹粗仿宋" w:eastAsia="彩虹粗仿宋" w:hAnsi="宋体" w:hint="eastAsia"/>
          <w:sz w:val="24"/>
        </w:rPr>
        <w:lastRenderedPageBreak/>
        <w:t>印章后发至基金托管人并电话确认，由基金托管人完成后台交易匹配及资金交收事宜。如果银行间结算系统已经生成的交易需要取消或终止，基金管理人要书面通知基金托管人。</w:t>
      </w:r>
    </w:p>
    <w:p w14:paraId="63F10EEE"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2.指令的确认</w:t>
      </w:r>
    </w:p>
    <w:p w14:paraId="31D6B341"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托管人应指定专人接收基金管理人的指令，预先通知基金管理人其名单，并与基金管理人商定指令发送和接收方式。指令到达基金托管人后，基金托管人应指定专人立即审慎验证指令的要素是否齐全，并将指令所载签字和印鉴与授权文件进行表面真实性及权限范围核对，复核无误后应在规定期限内执行，不得延误，如有疑问必须及时通知基金管理人。</w:t>
      </w:r>
    </w:p>
    <w:p w14:paraId="14A78295"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3.指令的时间和执行</w:t>
      </w:r>
    </w:p>
    <w:p w14:paraId="794949EB" w14:textId="77777777" w:rsidR="00E77209" w:rsidRDefault="009B3274">
      <w:pPr>
        <w:pStyle w:val="aa"/>
        <w:spacing w:line="240" w:lineRule="auto"/>
        <w:ind w:firstLineChars="0"/>
        <w:rPr>
          <w:rFonts w:ascii="彩虹粗仿宋" w:eastAsia="彩虹粗仿宋" w:hAnsi="宋体" w:cs="Arial"/>
          <w:szCs w:val="24"/>
          <w:shd w:val="pct10" w:color="auto" w:fill="FFFFFF"/>
        </w:rPr>
      </w:pPr>
      <w:r>
        <w:rPr>
          <w:rFonts w:ascii="彩虹粗仿宋" w:eastAsia="彩虹粗仿宋" w:hAnsi="宋体" w:cs="Arial" w:hint="eastAsia"/>
        </w:rPr>
        <w:t>基金管理人尽量于划款前1个工作日向基金托管人发送指令并确认。对于要求当天到账的指令，必须在当天15:30前向基金托管人发送，15:30之后发送的，基金托管人尽力执行，但不能保证划账成功。如果要求当天某一时点到账的指令，则指令需要提前2个工作小时发送，并确保相关付款条件已经具备。基金托管人将视付款条件具备时为指令送达时间。对新股申购网下发行业务，基金管理人应在网下申购缴款日(T日)的前一工作日下班前将指令发送给基金托管人，指令发送时间最迟不应晚于T日上午10:00。</w:t>
      </w:r>
      <w:r>
        <w:rPr>
          <w:rFonts w:ascii="彩虹粗仿宋" w:eastAsia="彩虹粗仿宋" w:hAnsi="宋体" w:cs="Arial" w:hint="eastAsia"/>
          <w:szCs w:val="24"/>
        </w:rPr>
        <w:t>基金管理人应确保基金托管人在执行指令时，基金托管资金账户有足够的资金余额，</w:t>
      </w:r>
      <w:r>
        <w:rPr>
          <w:rFonts w:ascii="彩虹粗仿宋" w:eastAsia="彩虹粗仿宋" w:hAnsi="宋体" w:cs="Arial" w:hint="eastAsia"/>
        </w:rPr>
        <w:t>在基金资金头寸充足的情况下，基金托管人对基金管理人符合法律法规、《基金合同》、本协议的指令不得拖延或拒绝执行。</w:t>
      </w:r>
    </w:p>
    <w:p w14:paraId="0BA5BAA1" w14:textId="77777777" w:rsidR="00E77209" w:rsidRDefault="009B3274">
      <w:pPr>
        <w:pStyle w:val="aa"/>
        <w:spacing w:line="240" w:lineRule="auto"/>
        <w:ind w:firstLineChars="0"/>
        <w:rPr>
          <w:rFonts w:ascii="彩虹粗仿宋" w:eastAsia="彩虹粗仿宋" w:hAnsi="宋体" w:cs="Arial"/>
        </w:rPr>
      </w:pPr>
      <w:r>
        <w:rPr>
          <w:rFonts w:ascii="彩虹粗仿宋" w:eastAsia="彩虹粗仿宋" w:hAnsi="宋体" w:cs="Arial" w:hint="eastAsia"/>
        </w:rPr>
        <w:t>（四）基金管理人发送错误指令的情形和处理程序</w:t>
      </w:r>
    </w:p>
    <w:p w14:paraId="6FF56882"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基金管理人发送错误指令的情形包括指令违反法律法规、监管规定、《基金合同》或本协议的约定，或指令发送人员无权或超越权限发送指令。</w:t>
      </w:r>
    </w:p>
    <w:p w14:paraId="34B74202"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基金托管人发现基金管理人的指令错误时，有权视情况暂缓或拒绝执行，并及时通知基金管理人改正。如需托管人撤销尚未执行的指令，基金管理人应出具作废指令或作废说明，并电话通知托管人。</w:t>
      </w:r>
    </w:p>
    <w:p w14:paraId="756C0716"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（五）基金托管人未按照基金管理人指令执行的处理方法</w:t>
      </w:r>
    </w:p>
    <w:p w14:paraId="4C58D851"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基金托管人由于自身过错，未按照基金管理人发送的符合法律法规、监管规定、《基金合同》和本协议约定的指令执行并对基金财产或投资人造成的直接损失，由基金托管人</w:t>
      </w:r>
      <w:r>
        <w:rPr>
          <w:rFonts w:ascii="彩虹粗仿宋" w:eastAsia="彩虹粗仿宋" w:hint="eastAsia"/>
          <w:sz w:val="24"/>
        </w:rPr>
        <w:t>赔偿由此造成的直接损失。</w:t>
      </w:r>
    </w:p>
    <w:p w14:paraId="4CB65B75" w14:textId="78DC8C3B"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（六）其他事项</w:t>
      </w:r>
    </w:p>
    <w:p w14:paraId="3B5682A5"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托管人在接收指令时，应对指令的要素是否齐全、印鉴与被授权人是否与预留的授权文件内容表面相符进行检查，如发现问题，应及时报告基金管理人，基金托管人对正确、及时执行基金管理人的有效指令对基金财产造成的损失不承担赔偿责任。</w:t>
      </w:r>
    </w:p>
    <w:p w14:paraId="00DECBD6"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基金参与认购未上市债券时，基金管理人应代表本基金与对手方签署相关合同或协议，明确约定债券过户具体事宜。否则，基金管理人需对所认购债券的过户事宜承担相应责任。</w:t>
      </w:r>
    </w:p>
    <w:p w14:paraId="7E3E86B0" w14:textId="77777777" w:rsidR="00E77209" w:rsidRDefault="00E77209">
      <w:pPr>
        <w:adjustRightInd w:val="0"/>
        <w:snapToGrid w:val="0"/>
        <w:rPr>
          <w:rFonts w:ascii="彩虹粗仿宋" w:eastAsia="彩虹粗仿宋" w:hAnsi="宋体" w:cs="Arial"/>
          <w:sz w:val="24"/>
        </w:rPr>
      </w:pPr>
    </w:p>
    <w:p w14:paraId="3FC205C0" w14:textId="77777777" w:rsidR="00E77209" w:rsidRDefault="009B3274">
      <w:pPr>
        <w:pStyle w:val="2"/>
        <w:jc w:val="center"/>
        <w:rPr>
          <w:rFonts w:ascii="彩虹粗仿宋" w:eastAsia="彩虹粗仿宋"/>
          <w:sz w:val="30"/>
        </w:rPr>
      </w:pPr>
      <w:bookmarkStart w:id="65" w:name="_Toc118972651"/>
      <w:bookmarkStart w:id="66" w:name="_Toc86223245"/>
      <w:bookmarkStart w:id="67" w:name="_Toc124325891"/>
      <w:bookmarkStart w:id="68" w:name="_Toc89163371"/>
      <w:bookmarkStart w:id="69" w:name="_Toc86225294"/>
      <w:bookmarkStart w:id="70" w:name="_Toc84133788"/>
      <w:bookmarkStart w:id="71" w:name="_Toc110761799"/>
      <w:bookmarkStart w:id="72" w:name="_Toc86204791"/>
      <w:bookmarkStart w:id="73" w:name="_Toc118774806"/>
      <w:bookmarkStart w:id="74" w:name="_Toc119402713"/>
      <w:bookmarkStart w:id="75" w:name="_Toc86737932"/>
      <w:bookmarkStart w:id="76" w:name="_Toc110830495"/>
      <w:bookmarkStart w:id="77" w:name="_Toc120435786"/>
      <w:bookmarkStart w:id="78" w:name="_Toc86649725"/>
      <w:bookmarkStart w:id="79" w:name="_Toc110765663"/>
      <w:bookmarkStart w:id="80" w:name="_Toc86726442"/>
      <w:bookmarkStart w:id="81" w:name="_Toc118212953"/>
      <w:bookmarkStart w:id="82" w:name="_Toc84234390"/>
      <w:bookmarkStart w:id="83" w:name="_Toc84234437"/>
      <w:bookmarkStart w:id="84" w:name="_Toc108512361"/>
      <w:bookmarkStart w:id="85" w:name="_Toc86727358"/>
      <w:r>
        <w:rPr>
          <w:rFonts w:ascii="彩虹粗仿宋" w:eastAsia="彩虹粗仿宋" w:hint="eastAsia"/>
          <w:sz w:val="30"/>
        </w:rPr>
        <w:t>七、交易及清算交收安排</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116366DA"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本基金参与交易所场内证券投资，采取托管人结算模式，基金管理人与基金托管人应根据有关法律法规及相关业务规则，签订《托管银行证券资金结算协议》用以具体明确基金管理人与基金托管人在证券交易资金结算（含港股通）业务中的程</w:t>
      </w:r>
      <w:r>
        <w:rPr>
          <w:rFonts w:ascii="彩虹粗仿宋" w:eastAsia="彩虹粗仿宋" w:hAnsi="宋体" w:cs="Arial" w:hint="eastAsia"/>
          <w:sz w:val="24"/>
        </w:rPr>
        <w:lastRenderedPageBreak/>
        <w:t>序与责任。协议签署前，基金管理人应按基金托管人要求配合提供相应准入材料。</w:t>
      </w:r>
    </w:p>
    <w:p w14:paraId="2D6D7357" w14:textId="3FFCA64D"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（一）选择证券、期货买卖的证券、期货经纪机构</w:t>
      </w:r>
    </w:p>
    <w:p w14:paraId="10C8AC31" w14:textId="105D7272"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基金管理人应设计选择证券买卖的证券</w:t>
      </w:r>
      <w:bookmarkStart w:id="86" w:name="OLE_LINK27"/>
      <w:r>
        <w:rPr>
          <w:rFonts w:ascii="彩虹粗仿宋" w:eastAsia="彩虹粗仿宋" w:hAnsi="宋体" w:cs="Arial" w:hint="eastAsia"/>
          <w:sz w:val="24"/>
        </w:rPr>
        <w:t>经纪</w:t>
      </w:r>
      <w:bookmarkEnd w:id="86"/>
      <w:r>
        <w:rPr>
          <w:rFonts w:ascii="彩虹粗仿宋" w:eastAsia="彩虹粗仿宋" w:hAnsi="宋体" w:cs="Arial" w:hint="eastAsia"/>
          <w:sz w:val="24"/>
        </w:rPr>
        <w:t>机构的标准和程序。基金管理人负责选择证券经纪机构，租用其交易单元作为基金的专用交易单元。基金管理人和被选中的证券经纪机构签订委托协议，基金管理人应提前通知基金托管人，并依据基金托管人要求提供相关资料，以便基金托管人申请办理接收结算数据手续。基金管理人应根据有关规定，在基金的中期报告和年度报告中将所选证券经纪机构的有关情况及交易信息予以披露，并将该等情况及基金交易单元号、佣金费率等基本信息以及变更情况及时以书面形式通知基金托管人。</w:t>
      </w:r>
    </w:p>
    <w:p w14:paraId="7D829D01" w14:textId="6BFC4459"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负责选择代理本基金期货交易的期货经纪机构，并与其签订期货经纪合同，其他事宜根据法律法规、《基金合同》的相关规定执行，若无明确规定的，可参照有关证券买卖、证券经纪机构选择的规则执行。</w:t>
      </w:r>
    </w:p>
    <w:p w14:paraId="16CE1AF7"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本基金在开始进行期货投资之前，基金管理人应与基金托管人、期货公司三方一同就期货开户、清算、估值、交收等事宜另行签署《期货投资托管操作三方备忘录》（以实际名称为准）。</w:t>
      </w:r>
    </w:p>
    <w:p w14:paraId="536132CA"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本基金参加期权交易前，应当按照现有证券账户开立方式向中国证券登记结算有限责任公司申请新开立一个普通证券账户，基金管理人负责将该证券账户指定交易在证券公司或期货公司，由相应证券公司（或期货公司）为本基金开立衍生品合约账户后，再通过该证券公司（或期货公司）参与期权交易。</w:t>
      </w:r>
    </w:p>
    <w:p w14:paraId="52E649D2"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（二）基金投资证券后的清算交收安排</w:t>
      </w:r>
    </w:p>
    <w:p w14:paraId="67AAE058"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 结算备付金与保证金</w:t>
      </w:r>
    </w:p>
    <w:p w14:paraId="216D6EC1"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中国证券登记结算有限责任公司分别于每月前</w:t>
      </w:r>
      <w:r>
        <w:rPr>
          <w:rFonts w:ascii="彩虹粗仿宋" w:eastAsia="彩虹粗仿宋" w:hAnsi="宋体" w:cs="Arial"/>
          <w:sz w:val="24"/>
        </w:rPr>
        <w:t>6个交易日</w:t>
      </w:r>
      <w:r>
        <w:rPr>
          <w:rFonts w:ascii="彩虹粗仿宋" w:eastAsia="彩虹粗仿宋" w:hAnsi="宋体" w:cs="Arial" w:hint="eastAsia"/>
          <w:sz w:val="24"/>
        </w:rPr>
        <w:t>及每月前</w:t>
      </w:r>
      <w:r>
        <w:rPr>
          <w:rFonts w:ascii="彩虹粗仿宋" w:eastAsia="彩虹粗仿宋" w:hAnsi="宋体" w:cs="Arial"/>
          <w:sz w:val="24"/>
        </w:rPr>
        <w:t>3个交易日内，对结算参与人最低备付金限额与结算保证金限额进行重新核算、调整。基金托管人</w:t>
      </w:r>
      <w:r>
        <w:rPr>
          <w:rFonts w:ascii="彩虹粗仿宋" w:eastAsia="彩虹粗仿宋" w:hAnsi="宋体" w:cs="Arial" w:hint="eastAsia"/>
          <w:sz w:val="24"/>
        </w:rPr>
        <w:t>应分别于每月前</w:t>
      </w:r>
      <w:r>
        <w:rPr>
          <w:rFonts w:ascii="彩虹粗仿宋" w:eastAsia="彩虹粗仿宋" w:hAnsi="宋体" w:cs="Arial"/>
          <w:sz w:val="24"/>
        </w:rPr>
        <w:t>3个交易日内及结算保证金调整当日通过《资金账户报告》通知基金管理人</w:t>
      </w:r>
      <w:r>
        <w:rPr>
          <w:rFonts w:ascii="彩虹粗仿宋" w:eastAsia="彩虹粗仿宋" w:hAnsi="宋体" w:cs="Arial" w:hint="eastAsia"/>
          <w:sz w:val="24"/>
        </w:rPr>
        <w:t>本基金最低备付金调整金额以及调整后的结算保证金金额。</w:t>
      </w:r>
    </w:p>
    <w:p w14:paraId="7E3EB355"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应预留最低备付金和结算保证金，并根据中国证券登记结算有限责任公司确定的实际最低备付金、结算保证金数据为依据安排资金运作，调整所需的现金头寸。如因调整最低备付金、结算保证金后造成透支，基金管理人应视基金托管人最低结算备付金比例计收方式分别于下列时点补足透支金额：</w:t>
      </w:r>
    </w:p>
    <w:p w14:paraId="4672C02F"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sz w:val="24"/>
        </w:rPr>
        <w:t>1）固定备付金比例</w:t>
      </w:r>
      <w:r>
        <w:rPr>
          <w:rFonts w:ascii="彩虹粗仿宋" w:eastAsia="彩虹粗仿宋" w:hAnsi="宋体" w:cs="Arial" w:hint="eastAsia"/>
          <w:sz w:val="24"/>
        </w:rPr>
        <w:t>计收方式下，基金管理人应在调整最低备付金、结算保证金当日上午</w:t>
      </w:r>
      <w:r>
        <w:rPr>
          <w:rFonts w:ascii="彩虹粗仿宋" w:eastAsia="彩虹粗仿宋" w:hAnsi="宋体" w:cs="Arial"/>
          <w:sz w:val="24"/>
        </w:rPr>
        <w:t>11</w:t>
      </w:r>
      <w:r>
        <w:rPr>
          <w:rFonts w:ascii="彩虹粗仿宋" w:eastAsia="彩虹粗仿宋" w:hAnsi="宋体" w:cs="Arial" w:hint="eastAsia"/>
          <w:sz w:val="24"/>
        </w:rPr>
        <w:t>：</w:t>
      </w:r>
      <w:r>
        <w:rPr>
          <w:rFonts w:ascii="彩虹粗仿宋" w:eastAsia="彩虹粗仿宋" w:hAnsi="宋体" w:cs="Arial"/>
          <w:sz w:val="24"/>
        </w:rPr>
        <w:t>00之前补足</w:t>
      </w:r>
      <w:r>
        <w:rPr>
          <w:rFonts w:ascii="彩虹粗仿宋" w:eastAsia="彩虹粗仿宋" w:hAnsi="宋体" w:cs="Arial" w:hint="eastAsia"/>
          <w:sz w:val="24"/>
        </w:rPr>
        <w:t>金额。</w:t>
      </w:r>
    </w:p>
    <w:p w14:paraId="3B43B21A"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sz w:val="24"/>
        </w:rPr>
        <w:t>2）差异化备付金比例</w:t>
      </w:r>
      <w:r>
        <w:rPr>
          <w:rFonts w:ascii="彩虹粗仿宋" w:eastAsia="彩虹粗仿宋" w:hAnsi="宋体" w:cs="Arial" w:hint="eastAsia"/>
          <w:sz w:val="24"/>
        </w:rPr>
        <w:t>计收方式下，基金管理人应最晚于资金交收日上午</w:t>
      </w:r>
      <w:r>
        <w:rPr>
          <w:rFonts w:ascii="彩虹粗仿宋" w:eastAsia="彩虹粗仿宋" w:hAnsi="宋体" w:cs="Arial"/>
          <w:sz w:val="24"/>
        </w:rPr>
        <w:t>8：30前补足金额</w:t>
      </w:r>
      <w:r>
        <w:rPr>
          <w:rFonts w:ascii="彩虹粗仿宋" w:eastAsia="彩虹粗仿宋" w:hAnsi="宋体" w:cs="Arial" w:hint="eastAsia"/>
          <w:sz w:val="24"/>
        </w:rPr>
        <w:t>。</w:t>
      </w:r>
    </w:p>
    <w:p w14:paraId="2F145FEB" w14:textId="47D6E85E"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sz w:val="24"/>
        </w:rPr>
        <w:t>2</w:t>
      </w:r>
      <w:r>
        <w:rPr>
          <w:rFonts w:ascii="彩虹粗仿宋" w:eastAsia="彩虹粗仿宋" w:hAnsi="宋体" w:cs="Arial" w:hint="eastAsia"/>
          <w:sz w:val="24"/>
        </w:rPr>
        <w:t>.</w:t>
      </w:r>
      <w:r>
        <w:rPr>
          <w:rFonts w:ascii="彩虹粗仿宋" w:eastAsia="彩虹粗仿宋" w:hAnsi="宋体" w:cs="Arial"/>
          <w:sz w:val="24"/>
        </w:rPr>
        <w:t>清算交收</w:t>
      </w:r>
    </w:p>
    <w:p w14:paraId="3BB0975C"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托管人负责基金买卖证券的清算交收。场内资金结算由基金托管人根据中国证券登记结算有限责任公司（以下简称“中国结算”）结算数据办理；场外资金汇划由基金托管人根据基金管理人的交易划款指令具体办理。</w:t>
      </w:r>
    </w:p>
    <w:p w14:paraId="00AB67DD"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如果因为基金托管人自身过错在清算上造成基金财产的直接损失，应由基金托管人负责赔偿，但因中国人民银行、中国结算和银行间市场登记结算机构资金结算系统以及其他机构的结算系统发生故障等非基金托管人可以控制的因素造成清算资金无法按时到账的情形，基金托管人免责；如果因为基金管理人未事先通知基金托管人增加交易单元等事宜，致使基金托管人接收数据不完整，造成清算差错的责任由基金管理人承担；如果因为基金管理人未事先通知需要单独结算的交易，造成基金资产损失的由基金管理人承担；如果由于基金管理人违反市场操作规则的</w:t>
      </w:r>
      <w:r>
        <w:rPr>
          <w:rFonts w:ascii="彩虹粗仿宋" w:eastAsia="彩虹粗仿宋" w:hAnsi="宋体" w:cs="Arial" w:hint="eastAsia"/>
          <w:sz w:val="24"/>
        </w:rPr>
        <w:lastRenderedPageBreak/>
        <w:t>规定进行超买、超卖及质押券欠库等原因造成基金投资清算困难和风险的，基金托管人在预清算结束后应通知基金管理人预透支和预欠库事项</w:t>
      </w:r>
      <w:r>
        <w:rPr>
          <w:rFonts w:hint="eastAsia"/>
          <w:color w:val="000000"/>
        </w:rPr>
        <w:t>，</w:t>
      </w:r>
      <w:r>
        <w:rPr>
          <w:rFonts w:ascii="彩虹粗仿宋" w:eastAsia="彩虹粗仿宋" w:hAnsi="宋体" w:cs="Arial" w:hint="eastAsia"/>
          <w:sz w:val="24"/>
        </w:rPr>
        <w:t>基金管理人应保持联系方式畅通，后续补缴等事宜由基金管理人负责解决，由此给基金托管人、本基金和基金托管人托管的其他资产造成的直接损失由基金管理人承担。</w:t>
      </w:r>
    </w:p>
    <w:p w14:paraId="2F71792C"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基金管理人应采取合理、必要措施，确保T日日终有足够的资金头寸完成 T+1日中国证券登记结算有限责任公司的资金交收；如因基金管理人原因导致资金头寸不足，基金管理人应视基金托管</w:t>
      </w:r>
      <w:r>
        <w:rPr>
          <w:rFonts w:ascii="彩虹粗仿宋" w:eastAsia="彩虹粗仿宋" w:hAnsi="宋体" w:cs="Arial"/>
          <w:sz w:val="24"/>
        </w:rPr>
        <w:t>人</w:t>
      </w:r>
      <w:r>
        <w:rPr>
          <w:rFonts w:ascii="彩虹粗仿宋" w:eastAsia="彩虹粗仿宋" w:hAnsi="宋体" w:cs="Arial" w:hint="eastAsia"/>
          <w:sz w:val="24"/>
        </w:rPr>
        <w:t>最低结算备付金比例计收方式分别于下列时点补足透支金额：</w:t>
      </w:r>
    </w:p>
    <w:p w14:paraId="2F4269BF"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sz w:val="24"/>
        </w:rPr>
        <w:t>1）固定备付金比例计收方式下，</w:t>
      </w:r>
      <w:r>
        <w:rPr>
          <w:rFonts w:ascii="彩虹粗仿宋" w:eastAsia="彩虹粗仿宋" w:hAnsi="宋体" w:cs="Arial" w:hint="eastAsia"/>
          <w:sz w:val="24"/>
        </w:rPr>
        <w:t>基金</w:t>
      </w:r>
      <w:r>
        <w:rPr>
          <w:rFonts w:ascii="彩虹粗仿宋" w:eastAsia="彩虹粗仿宋" w:hAnsi="宋体" w:cs="Arial"/>
          <w:sz w:val="24"/>
        </w:rPr>
        <w:t>管理人应</w:t>
      </w:r>
      <w:r>
        <w:rPr>
          <w:rFonts w:ascii="彩虹粗仿宋" w:eastAsia="彩虹粗仿宋" w:hAnsi="宋体" w:cs="Arial" w:hint="eastAsia"/>
          <w:sz w:val="24"/>
        </w:rPr>
        <w:t>最晚于资金交收日上午</w:t>
      </w:r>
      <w:r>
        <w:rPr>
          <w:rFonts w:ascii="彩虹粗仿宋" w:eastAsia="彩虹粗仿宋" w:hAnsi="宋体" w:cs="Arial"/>
          <w:sz w:val="24"/>
        </w:rPr>
        <w:t>11</w:t>
      </w:r>
      <w:r>
        <w:rPr>
          <w:rFonts w:ascii="彩虹粗仿宋" w:eastAsia="彩虹粗仿宋" w:hAnsi="宋体" w:cs="Arial" w:hint="eastAsia"/>
          <w:sz w:val="24"/>
        </w:rPr>
        <w:t>：</w:t>
      </w:r>
      <w:r>
        <w:rPr>
          <w:rFonts w:ascii="彩虹粗仿宋" w:eastAsia="彩虹粗仿宋" w:hAnsi="宋体" w:cs="Arial"/>
          <w:sz w:val="24"/>
        </w:rPr>
        <w:t>00前补足金额。</w:t>
      </w:r>
    </w:p>
    <w:p w14:paraId="21DF9948"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w:t>
      </w:r>
      <w:r>
        <w:rPr>
          <w:rFonts w:ascii="彩虹粗仿宋" w:eastAsia="彩虹粗仿宋" w:hAnsi="宋体" w:cs="Arial"/>
          <w:sz w:val="24"/>
        </w:rPr>
        <w:t>2）差异化备付金比例计收方式下，</w:t>
      </w:r>
      <w:r>
        <w:rPr>
          <w:rFonts w:ascii="彩虹粗仿宋" w:eastAsia="彩虹粗仿宋" w:hAnsi="宋体" w:cs="Arial" w:hint="eastAsia"/>
          <w:sz w:val="24"/>
        </w:rPr>
        <w:t>基金</w:t>
      </w:r>
      <w:r>
        <w:rPr>
          <w:rFonts w:ascii="彩虹粗仿宋" w:eastAsia="彩虹粗仿宋" w:hAnsi="宋体" w:cs="Arial"/>
          <w:sz w:val="24"/>
        </w:rPr>
        <w:t>管理人应最晚于资金交收日</w:t>
      </w:r>
      <w:r>
        <w:rPr>
          <w:rFonts w:ascii="彩虹粗仿宋" w:eastAsia="彩虹粗仿宋" w:hAnsi="宋体" w:cs="Arial" w:hint="eastAsia"/>
          <w:sz w:val="24"/>
        </w:rPr>
        <w:t>上午</w:t>
      </w:r>
      <w:r>
        <w:rPr>
          <w:rFonts w:ascii="彩虹粗仿宋" w:eastAsia="彩虹粗仿宋" w:hAnsi="宋体" w:cs="Arial"/>
          <w:sz w:val="24"/>
        </w:rPr>
        <w:t>8：30前补足金额</w:t>
      </w:r>
      <w:r>
        <w:rPr>
          <w:rFonts w:ascii="彩虹粗仿宋" w:eastAsia="彩虹粗仿宋" w:hAnsi="宋体" w:cs="Arial" w:hint="eastAsia"/>
          <w:sz w:val="24"/>
        </w:rPr>
        <w:t>。如果基金管理人未遵循上述规定备足资金头寸，影响基金资产的清算交收及基金托管人与中国证券登记结算有限责任公司之间的一级清算，由此给基金托管人、基金资产和基金托管人托管的其他资产造成的直接损失由基金管理人负责。</w:t>
      </w:r>
    </w:p>
    <w:p w14:paraId="1A083148"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宋体" w:hint="eastAsia"/>
          <w:color w:val="000000"/>
          <w:kern w:val="0"/>
          <w:sz w:val="24"/>
        </w:rPr>
        <w:t>根据中国证券登记结算有限责任公司结算规定，基金管理人在进行融资回购业务时，用于融资回购的债券将作为偿还融资回购到期购回款的质押券。如因基金管理人原因造成债券回购交收违约或因折算率变化造成质押欠库，导致中国证券登记结算有限责任公司欠库扣款或对质押券进行处置造成的投资风险和损失由基金管理人承担。</w:t>
      </w:r>
    </w:p>
    <w:p w14:paraId="47574DA1"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对于中国证券登记结算有限责任公司实行T+0非担保交收的业务，基金管理人应在交易日14:00前将划款指令发送至基金托管人。因基金管理人指令传输不及时，致使资金未能及时划入中国结算指定交收账户所造成的损失由基金管理人承担。包括但不限于赔偿在该市场引起其他托管客户交易失败、赔偿因占用结算参与人最低备付金带来的利息损失。</w:t>
      </w:r>
    </w:p>
    <w:p w14:paraId="7B49F559" w14:textId="1A9D367E"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sz w:val="24"/>
        </w:rPr>
        <w:t>3</w:t>
      </w:r>
      <w:r>
        <w:rPr>
          <w:rFonts w:ascii="彩虹粗仿宋" w:eastAsia="彩虹粗仿宋" w:hAnsi="宋体" w:cs="Arial" w:hint="eastAsia"/>
          <w:sz w:val="24"/>
        </w:rPr>
        <w:t>.交易记录、资金和证券/期货账目核对的时间和方式</w:t>
      </w:r>
    </w:p>
    <w:p w14:paraId="5F564BB2"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（1）交易记录的核对</w:t>
      </w:r>
    </w:p>
    <w:p w14:paraId="0CA2C8F4"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int="eastAsia"/>
          <w:kern w:val="0"/>
          <w:sz w:val="24"/>
        </w:rPr>
        <w:t>基金管理人按日进行交易记录的核对。对外披露净值之前，必须保证当天所有实际交易记录与基金会计账簿上的交易记录完全一致。如果实际交易记录与会计账簿记录不一致，造成基金会计核算不完整或不真实，由此导致的损失由基金管理人承担。</w:t>
      </w:r>
    </w:p>
    <w:p w14:paraId="5C03F196"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（2）资金账目的核对</w:t>
      </w:r>
    </w:p>
    <w:p w14:paraId="1E57E322"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资金账目按日核实。</w:t>
      </w:r>
    </w:p>
    <w:p w14:paraId="2CB14873"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（3）证券/期货账目的核对</w:t>
      </w:r>
    </w:p>
    <w:p w14:paraId="283526FD"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基金管理人和基金托管人每个交易日结束后核对基金证券/期货账目，确保双方账目相符。</w:t>
      </w:r>
    </w:p>
    <w:p w14:paraId="1A258F21" w14:textId="77777777" w:rsidR="00E77209" w:rsidRDefault="009B3274">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（三）基金申购和赎回业务处理的基本规定</w:t>
      </w:r>
    </w:p>
    <w:p w14:paraId="2DF0A8F3"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1.基金份额申购、赎回的确认、清算由基金管理人或其委托的登记机构负责。</w:t>
      </w:r>
    </w:p>
    <w:p w14:paraId="048E4274"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2.基金管理人应将每个开放日的申购、赎回、转换开放式基金的数据传送给基金托管人。基金管理人应对传递的申购、赎回、转换开放式基金的数据真实性负责。基金托管人应及时查收申购及转入资金的到账情况并根据基金管理人指令及时划付赎回及转出款项。</w:t>
      </w:r>
    </w:p>
    <w:p w14:paraId="60981D40"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3.基金管理人应保证本基金（或本基金管理人委托）的登记机构每个工作日15:00前向基金托管人发送前一开放日上述有关数据，并保证相关数据的准确、完</w:t>
      </w:r>
      <w:r>
        <w:rPr>
          <w:rFonts w:ascii="彩虹粗仿宋" w:eastAsia="彩虹粗仿宋" w:hAnsi="宋体" w:cs="Arial" w:hint="eastAsia"/>
          <w:sz w:val="24"/>
        </w:rPr>
        <w:lastRenderedPageBreak/>
        <w:t>整。</w:t>
      </w:r>
    </w:p>
    <w:p w14:paraId="46A71A88"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4.登记机构应通过与基金托管人建立的加密系统发送有关数据，如因各种原因，该系统无法正常发送，双方可协商解决处理方式。基金管理人向基金托管人发送的数据，双方各自按有关规定保存。</w:t>
      </w:r>
    </w:p>
    <w:p w14:paraId="13B1BE08"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5.如基金管理人委托其他机构办理本基金的注册登记业务，应保证上述相关事宜按时进行。否则，由基金管理人承担相应的责任。</w:t>
      </w:r>
    </w:p>
    <w:p w14:paraId="24D3FE97"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6.关于清算专用账户的设立和管理</w:t>
      </w:r>
    </w:p>
    <w:p w14:paraId="73DABDD8"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为满足申购、赎回及分红资金汇划的需要，由基金管理人开立资金清算的专用账户，该账户由登记机构管理。</w:t>
      </w:r>
    </w:p>
    <w:p w14:paraId="29B20341"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7.对于基金申购过程中产生的应收款，应由基金管理人负责与有关当事人确定到账日期并通知基金托管人，到账日应收款没有到达基金托管资金账户的，基金托管人应及时通知基金管理人采取措施进行催收，由此造成基金损失的，基金管理人应负责向有关当事人追偿基金的损失，基金托管人应给予必要的协助与配合。</w:t>
      </w:r>
    </w:p>
    <w:p w14:paraId="2D338ACA"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8.赎回和分红资金划拨规定</w:t>
      </w:r>
    </w:p>
    <w:p w14:paraId="2D60275F"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拨付赎回款或进行基金分红时，如基金托管资金账户有足够的资金，基金托管人应按时拨付；因基金托管资金账户没有足够的资金，导致基金托管人不能按时拨付，如系基金管理人的原因造成，责任由基金管理人承担，基金托管人不承担垫款义务。</w:t>
      </w:r>
    </w:p>
    <w:p w14:paraId="5CD345FF"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9.资金指令</w:t>
      </w:r>
    </w:p>
    <w:p w14:paraId="3031235A"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除申购款项到达基金托管资金账户需双方按约定方式对账外，回购到期付款和与投资有关的付款、赎回和分红资金划拨时，基金管理人需向基金托管人下达指令。</w:t>
      </w:r>
    </w:p>
    <w:p w14:paraId="6825F3C2"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资金指令的格式、内容、发送、接收和确认方式等与投资指令相同。</w:t>
      </w:r>
    </w:p>
    <w:p w14:paraId="13053EEF" w14:textId="77777777" w:rsidR="00E77209" w:rsidRDefault="009B3274">
      <w:pPr>
        <w:adjustRightInd w:val="0"/>
        <w:snapToGrid w:val="0"/>
        <w:ind w:firstLine="480"/>
        <w:outlineLvl w:val="0"/>
        <w:rPr>
          <w:rFonts w:ascii="彩虹粗仿宋" w:eastAsia="彩虹粗仿宋" w:hAnsi="宋体" w:cs="Arial"/>
          <w:sz w:val="24"/>
        </w:rPr>
      </w:pPr>
      <w:r>
        <w:rPr>
          <w:rFonts w:ascii="彩虹粗仿宋" w:eastAsia="彩虹粗仿宋" w:hAnsi="宋体" w:cs="Arial"/>
          <w:sz w:val="24"/>
        </w:rPr>
        <w:t>（四）申赎净额结算</w:t>
      </w:r>
    </w:p>
    <w:p w14:paraId="5C56139C" w14:textId="77777777" w:rsidR="00E77209" w:rsidRDefault="009B3274">
      <w:pPr>
        <w:adjustRightInd w:val="0"/>
        <w:snapToGrid w:val="0"/>
        <w:ind w:firstLine="480"/>
        <w:outlineLvl w:val="0"/>
        <w:rPr>
          <w:rFonts w:ascii="彩虹粗仿宋" w:eastAsia="彩虹粗仿宋" w:hAnsi="宋体" w:cs="Arial"/>
          <w:sz w:val="24"/>
        </w:rPr>
      </w:pPr>
      <w:r>
        <w:rPr>
          <w:rFonts w:ascii="彩虹粗仿宋" w:eastAsia="彩虹粗仿宋" w:hAnsi="宋体" w:cs="Arial"/>
          <w:sz w:val="24"/>
        </w:rPr>
        <w:t>基金托管资金账户与</w:t>
      </w:r>
      <w:r>
        <w:rPr>
          <w:rFonts w:ascii="彩虹粗仿宋" w:eastAsia="彩虹粗仿宋" w:hAnsi="宋体" w:cs="Arial"/>
          <w:sz w:val="24"/>
        </w:rPr>
        <w:t>“</w:t>
      </w:r>
      <w:r>
        <w:rPr>
          <w:rFonts w:ascii="彩虹粗仿宋" w:eastAsia="彩虹粗仿宋" w:hAnsi="宋体" w:cs="Arial"/>
          <w:sz w:val="24"/>
        </w:rPr>
        <w:t>基金清算账户</w:t>
      </w:r>
      <w:r>
        <w:rPr>
          <w:rFonts w:ascii="彩虹粗仿宋" w:eastAsia="彩虹粗仿宋" w:hAnsi="宋体" w:cs="Arial"/>
          <w:sz w:val="24"/>
        </w:rPr>
        <w:t>”</w:t>
      </w:r>
      <w:r>
        <w:rPr>
          <w:rFonts w:ascii="彩虹粗仿宋" w:eastAsia="彩虹粗仿宋" w:hAnsi="宋体" w:cs="Arial"/>
          <w:sz w:val="24"/>
        </w:rPr>
        <w:t>间的资金结算遵循</w:t>
      </w:r>
      <w:r>
        <w:rPr>
          <w:rFonts w:ascii="彩虹粗仿宋" w:eastAsia="彩虹粗仿宋" w:hAnsi="宋体" w:cs="Arial"/>
          <w:sz w:val="24"/>
        </w:rPr>
        <w:t>“</w:t>
      </w:r>
      <w:r>
        <w:rPr>
          <w:rFonts w:ascii="彩虹粗仿宋" w:eastAsia="彩虹粗仿宋" w:hAnsi="宋体" w:cs="Arial"/>
          <w:sz w:val="24"/>
        </w:rPr>
        <w:t>全额清算、净额交收</w:t>
      </w:r>
      <w:r>
        <w:rPr>
          <w:rFonts w:ascii="彩虹粗仿宋" w:eastAsia="彩虹粗仿宋" w:hAnsi="宋体" w:cs="Arial"/>
          <w:sz w:val="24"/>
        </w:rPr>
        <w:t>”</w:t>
      </w:r>
      <w:r>
        <w:rPr>
          <w:rFonts w:ascii="彩虹粗仿宋" w:eastAsia="彩虹粗仿宋" w:hAnsi="宋体" w:cs="Arial"/>
          <w:sz w:val="24"/>
        </w:rPr>
        <w:t>的原则，每日(T日：资金交收日，下同)按照托管资金账户应收资金(T-2日申购申请对应申购金额与T-3日基金转换入申请对应金额之和)与应付资金(T-3日赎回申请对应赎回金额与T-3日基金转换出申请对应金额之和)的差额来确定托管资金账户净应收额或净应付额，以此确定资金交收额。当存在托管资金账户净应收额时，基金管理人应在T日15:00之前从基金清算账户划到基金托管资金账户；当存在托管资金账户净应付额时，基金管理人应在</w:t>
      </w:r>
      <w:r>
        <w:rPr>
          <w:rFonts w:ascii="彩虹粗仿宋" w:eastAsia="彩虹粗仿宋" w:hAnsi="宋体" w:cs="Arial" w:hint="eastAsia"/>
          <w:sz w:val="24"/>
        </w:rPr>
        <w:t>T日10:00之前</w:t>
      </w:r>
      <w:r>
        <w:rPr>
          <w:rFonts w:ascii="彩虹粗仿宋" w:eastAsia="彩虹粗仿宋" w:hAnsi="宋体" w:cs="Arial"/>
          <w:sz w:val="24"/>
        </w:rPr>
        <w:t>将划款指令发送给基金托管人，基金托管人按基金管理人的划款指令将托管资金账户净应付额在T日1</w:t>
      </w:r>
      <w:r>
        <w:rPr>
          <w:rFonts w:ascii="彩虹粗仿宋" w:eastAsia="彩虹粗仿宋" w:hAnsi="宋体" w:cs="Arial" w:hint="eastAsia"/>
          <w:sz w:val="24"/>
        </w:rPr>
        <w:t>5</w:t>
      </w:r>
      <w:r>
        <w:rPr>
          <w:rFonts w:ascii="彩虹粗仿宋" w:eastAsia="彩虹粗仿宋" w:hAnsi="宋体" w:cs="Arial"/>
          <w:sz w:val="24"/>
        </w:rPr>
        <w:t>:00之前划往基金清算账户。</w:t>
      </w:r>
    </w:p>
    <w:p w14:paraId="6D3B3105" w14:textId="77777777" w:rsidR="00E77209" w:rsidRDefault="009B3274">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（五）基金转换</w:t>
      </w:r>
    </w:p>
    <w:p w14:paraId="12D4757F" w14:textId="1C40392C"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1.在本基金开展转换业务之前，基金管理人应函告基金托管人并就相关事宜进行协商。</w:t>
      </w:r>
    </w:p>
    <w:p w14:paraId="1833F501" w14:textId="77777777" w:rsidR="00E77209" w:rsidRDefault="009B3274">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2.基金托管人将根据基金管理人传送的基金转换数据进行账务处理，具体资金清算和数据传递的时间、程序及托管协议当事人承担的权责按基金管理人届时的公告执行。</w:t>
      </w:r>
    </w:p>
    <w:p w14:paraId="1C4AEEEC" w14:textId="77777777" w:rsidR="00E77209" w:rsidRDefault="009B3274">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3.本基金开展基金转换业务应按相关法律法规规定及《基金合同》的约定进行公告。</w:t>
      </w:r>
    </w:p>
    <w:p w14:paraId="01BC991F" w14:textId="77777777" w:rsidR="00E77209" w:rsidRDefault="009B3274">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（六）基金现金分红</w:t>
      </w:r>
    </w:p>
    <w:p w14:paraId="3B4AF561"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1.基金管理人确定分红方案通知基金托管人，双方核定后</w:t>
      </w:r>
      <w:r>
        <w:rPr>
          <w:rFonts w:ascii="彩虹粗仿宋" w:eastAsia="彩虹粗仿宋" w:hint="eastAsia"/>
          <w:sz w:val="24"/>
          <w:szCs w:val="18"/>
        </w:rPr>
        <w:t>依照规定在中国证监会规定媒介上公告</w:t>
      </w:r>
      <w:r>
        <w:rPr>
          <w:rFonts w:ascii="彩虹粗仿宋" w:eastAsia="彩虹粗仿宋" w:hAnsi="宋体" w:cs="Arial" w:hint="eastAsia"/>
          <w:sz w:val="24"/>
        </w:rPr>
        <w:t>。</w:t>
      </w:r>
    </w:p>
    <w:p w14:paraId="45B47025" w14:textId="77777777" w:rsidR="00E77209" w:rsidRDefault="009B3274">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lastRenderedPageBreak/>
        <w:t>2.基金托管人和基金管理人对基金分红进行账务处理并核对后，基金管理人向基金托管人发送现金红利的划款指令，基金托管人应及时将资金划入专用账户。</w:t>
      </w:r>
    </w:p>
    <w:p w14:paraId="363F071F" w14:textId="77777777" w:rsidR="00E77209" w:rsidRDefault="009B3274">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3.基金管理人在下达指令时，应给基金托管人留出必需的划款时间。</w:t>
      </w:r>
    </w:p>
    <w:p w14:paraId="2B00F546" w14:textId="77777777" w:rsidR="00E77209" w:rsidRDefault="009B3274">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（七）投资银行存款的特别约定</w:t>
      </w:r>
    </w:p>
    <w:p w14:paraId="5ECE3D11" w14:textId="77777777" w:rsidR="00E77209" w:rsidRDefault="009B3274">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1.本基金投资银行存款前，基金管理人应与存款银行签订具体存款协议，包括但不限于以下内容：</w:t>
      </w:r>
    </w:p>
    <w:p w14:paraId="2909AFAF" w14:textId="77777777" w:rsidR="00E77209" w:rsidRDefault="009B3274">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（1）存款账户必须以本基金名义开立,并将基金托管人为本基金开立的基金托管资金账户指定为唯一回款账户，任何情况下，存款银行都不得将存款投资本息划往任何其他账户。</w:t>
      </w:r>
    </w:p>
    <w:p w14:paraId="73A5A5BC" w14:textId="77777777" w:rsidR="00E77209" w:rsidRDefault="009B3274">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（2）存款银行不得接受基金管理人或基金托管人任何一方单方面提出的对存款进行更名、转让、挂失、质押、担保、撤销、变更印鉴及回款账户信息等可能导致财产转移的操作申请。</w:t>
      </w:r>
    </w:p>
    <w:p w14:paraId="34D42358" w14:textId="77777777" w:rsidR="00E77209" w:rsidRDefault="009B3274">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（3）约定存款证实书的具体传递交接方式及交接期限。</w:t>
      </w:r>
    </w:p>
    <w:p w14:paraId="495CBF29" w14:textId="77777777" w:rsidR="00E77209" w:rsidRDefault="009B3274">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（4）资金划转过程中需要使用存款银行过渡账户的，存款银行须保证资金在过渡账户中不出现滞留，不被挪用。</w:t>
      </w:r>
    </w:p>
    <w:p w14:paraId="061E59B8" w14:textId="77777777" w:rsidR="00E77209" w:rsidRDefault="009B3274">
      <w:pPr>
        <w:adjustRightInd w:val="0"/>
        <w:snapToGrid w:val="0"/>
        <w:ind w:firstLine="480"/>
        <w:outlineLvl w:val="0"/>
        <w:rPr>
          <w:rFonts w:ascii="彩虹粗仿宋" w:eastAsia="彩虹粗仿宋" w:hAnsi="宋体" w:cs="Arial"/>
          <w:sz w:val="24"/>
        </w:rPr>
      </w:pPr>
      <w:r>
        <w:rPr>
          <w:rFonts w:ascii="彩虹粗仿宋" w:eastAsia="彩虹粗仿宋" w:hAnsi="宋体" w:cs="Arial" w:hint="eastAsia"/>
          <w:sz w:val="24"/>
        </w:rPr>
        <w:t>2.本基金投资银行存款，必须采用双方认可的方式办理。托管人负责依据管理人提供的银行存款投资合同/协议、投资指令、支取通知等有关文件办理资金的支付以及存款证实书的接收、保管与交付，切实履行托管职责。托管人负责对存款开户证实书进行保管，不负责对存款开户证实书真伪的辨别，不承担存款开户证实书对应存款的本金及收益的安全。</w:t>
      </w:r>
    </w:p>
    <w:p w14:paraId="5564A8CE" w14:textId="6E8DB77C"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基金管理人投资银行存款或办理存款支取时，应提前书面通知基金托管人，以便基金托管人有足够的时间履行相应的业务操作程序。因发生逾期支取、提前支取或部分提前支取，托管人不承担相应利息损失及逾期支取手续费。</w:t>
      </w:r>
    </w:p>
    <w:p w14:paraId="11ACD32F" w14:textId="18FF5C2D"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对于已移交基金托管人保管的存款开户证实书等实物凭证，基金托管人应确保安全保管；对未按约定将存款开户证实书等实物凭证移交托管人保管的，基金托管人应向基金管理人进行必要的催缴和风险提示；提示后仍不将相关实物凭证送达托管人保管的，出于托管履职和尽责，托管人可视情况采取必要的风险控制措施：（1）建立风险预警机制，对于实物凭证未送达集中度较高的存款银行，主动发函管理人尽量避免在此类银行进行存款投资；（2）在定期报告中，对未按约定送达基金托管人保管的实物凭证信息进行规定范围信息披露；（3）未送达实物凭证超过送单截止日后30个工作日，且累计超过3笔（含）以上的，部分或全部暂停配合基金管理人办理后续新增存款投资业务，直至实物凭证送达托管人保管后解除。实物凭证未送达但存款本息已安全划回托管资金账户的，以及因发生特殊情况由管理人提供相关书面说明并重新承诺送单截止时间的，可剔除不计。</w:t>
      </w:r>
    </w:p>
    <w:p w14:paraId="2E2E7E94" w14:textId="177FECBD" w:rsidR="00E77209" w:rsidRDefault="009B3274">
      <w:pPr>
        <w:pStyle w:val="2"/>
        <w:jc w:val="center"/>
        <w:rPr>
          <w:rFonts w:ascii="彩虹粗仿宋" w:eastAsia="彩虹粗仿宋"/>
          <w:sz w:val="30"/>
        </w:rPr>
      </w:pPr>
      <w:bookmarkStart w:id="87" w:name="_Toc124325892"/>
      <w:r>
        <w:rPr>
          <w:rFonts w:ascii="彩虹粗仿宋" w:eastAsia="彩虹粗仿宋" w:hint="eastAsia"/>
          <w:sz w:val="30"/>
        </w:rPr>
        <w:t>八、基金资产净值计算和会计核算</w:t>
      </w:r>
      <w:bookmarkEnd w:id="87"/>
    </w:p>
    <w:p w14:paraId="48BAB8B3"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（一）基金资产净值的计算、复核与完成的时间及程序</w:t>
      </w:r>
    </w:p>
    <w:p w14:paraId="3E4C8910" w14:textId="61B46DEB"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1.基金资产净值是指基金资产总值减去基金负债后的价值。各类基金份额的基金份额净值是按照每个</w:t>
      </w:r>
      <w:r>
        <w:rPr>
          <w:rFonts w:ascii="彩虹粗仿宋" w:eastAsia="彩虹粗仿宋" w:hAnsi="宋体" w:cs="Arial" w:hint="eastAsia"/>
          <w:sz w:val="24"/>
        </w:rPr>
        <w:t>工作</w:t>
      </w:r>
      <w:r>
        <w:rPr>
          <w:rFonts w:ascii="彩虹粗仿宋" w:eastAsia="彩虹粗仿宋" w:hAnsi="宋体" w:cs="Arial"/>
          <w:sz w:val="24"/>
        </w:rPr>
        <w:t>日闭市后，相应类别的基金资产净值除以当日该类基金份额的余额数量计算，均精确到0.0001元，小数点后第五位四舍五入，由此产生的误差计入基金财产。基金管理人可以设立大额赎回情形下的净值精度应急调整机制。国家另有规定的，从其规定。</w:t>
      </w:r>
    </w:p>
    <w:p w14:paraId="19330315"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基金管理人于每个</w:t>
      </w:r>
      <w:r>
        <w:rPr>
          <w:rFonts w:ascii="彩虹粗仿宋" w:eastAsia="彩虹粗仿宋" w:hAnsi="宋体" w:cs="Arial" w:hint="eastAsia"/>
          <w:sz w:val="24"/>
        </w:rPr>
        <w:t>工作</w:t>
      </w:r>
      <w:r>
        <w:rPr>
          <w:rFonts w:ascii="彩虹粗仿宋" w:eastAsia="彩虹粗仿宋" w:hAnsi="宋体" w:cs="Arial"/>
          <w:sz w:val="24"/>
        </w:rPr>
        <w:t>日计算各类基金份额的基金资产净值及基金份额净值，</w:t>
      </w:r>
      <w:r>
        <w:rPr>
          <w:rFonts w:ascii="彩虹粗仿宋" w:eastAsia="彩虹粗仿宋" w:hAnsi="宋体" w:cs="Arial"/>
          <w:sz w:val="24"/>
        </w:rPr>
        <w:lastRenderedPageBreak/>
        <w:t>并按规定公告。</w:t>
      </w:r>
    </w:p>
    <w:p w14:paraId="5509EF0E" w14:textId="61E9AF4E"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2.基金管理人应每个</w:t>
      </w:r>
      <w:r>
        <w:rPr>
          <w:rFonts w:ascii="彩虹粗仿宋" w:eastAsia="彩虹粗仿宋" w:hAnsi="宋体" w:cs="Arial" w:hint="eastAsia"/>
          <w:sz w:val="24"/>
        </w:rPr>
        <w:t>工作</w:t>
      </w:r>
      <w:r>
        <w:rPr>
          <w:rFonts w:ascii="彩虹粗仿宋" w:eastAsia="彩虹粗仿宋" w:hAnsi="宋体" w:cs="Arial"/>
          <w:sz w:val="24"/>
        </w:rPr>
        <w:t>日对基金资产估值。但基金管理人根据法律法规或《基金合同》的规定暂停估值时除外。基金管理人每个</w:t>
      </w:r>
      <w:r>
        <w:rPr>
          <w:rFonts w:ascii="彩虹粗仿宋" w:eastAsia="彩虹粗仿宋" w:hAnsi="宋体" w:cs="Arial" w:hint="eastAsia"/>
          <w:sz w:val="24"/>
        </w:rPr>
        <w:t>工作</w:t>
      </w:r>
      <w:r>
        <w:rPr>
          <w:rFonts w:ascii="彩虹粗仿宋" w:eastAsia="彩虹粗仿宋" w:hAnsi="宋体" w:cs="Arial"/>
          <w:sz w:val="24"/>
        </w:rPr>
        <w:t>日对基金资产估值后将各类基金份额净值结果发送基金托管人，经基金托管人复核无误后，由基金管理人依据基金合同和相关法律法规的规定对外公布。</w:t>
      </w:r>
    </w:p>
    <w:p w14:paraId="7924CF4A"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（二）基金资产估值方法和特殊情形的处理</w:t>
      </w:r>
    </w:p>
    <w:p w14:paraId="1431369B"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1.估值对象</w:t>
      </w:r>
    </w:p>
    <w:p w14:paraId="3F08A15D"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基金所拥有的股票、存托凭证、债券、资产支持证券、股指期货合约、国债期货合约、股票期权合约和银行存款本息、应收款项、其它投资等资产及负债。</w:t>
      </w:r>
    </w:p>
    <w:p w14:paraId="49234A72"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2.估值方法</w:t>
      </w:r>
    </w:p>
    <w:p w14:paraId="69EBD333"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本基金所持有的投资品种，按如下原则进行估值：</w:t>
      </w:r>
    </w:p>
    <w:p w14:paraId="171238ED"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（1）证券交易所上市的有价证券的估值</w:t>
      </w:r>
    </w:p>
    <w:p w14:paraId="311E9711" w14:textId="7F7F0C70"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除另有约定的品种外，交易所上市的有价证券（包括股票等），以其估值日在证券交易所挂牌的市价（收盘价）估值；估值日无交易的，且最近交易日后经济环境未发生重大变化以及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7D963F23"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本基金投资存托凭证的估值核算，依照境内上市交易的股票执行。</w:t>
      </w:r>
    </w:p>
    <w:p w14:paraId="08012B5D"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（2）处于未上市期间的有价证券应区分如下情况处理：</w:t>
      </w:r>
    </w:p>
    <w:p w14:paraId="2FE935D3"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①</w:t>
      </w:r>
      <w:r>
        <w:rPr>
          <w:rFonts w:ascii="彩虹粗仿宋" w:eastAsia="彩虹粗仿宋" w:hAnsi="宋体" w:cs="Arial"/>
          <w:sz w:val="24"/>
        </w:rPr>
        <w:t>送股、转增股、配股和公开增发的新股，按估值日在证券交易所挂牌的同一股票的估值方法估值；该日无交易的，以最近一日的市价（收盘价）估值；</w:t>
      </w:r>
    </w:p>
    <w:p w14:paraId="20C2AB7B"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②</w:t>
      </w:r>
      <w:r>
        <w:rPr>
          <w:rFonts w:ascii="彩虹粗仿宋" w:eastAsia="彩虹粗仿宋" w:hAnsi="宋体" w:cs="Arial"/>
          <w:sz w:val="24"/>
        </w:rPr>
        <w:t>首次公开发行未上市的股票，采用估值技术确定公允价值；</w:t>
      </w:r>
    </w:p>
    <w:p w14:paraId="673960A1"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③</w:t>
      </w:r>
      <w:r>
        <w:rPr>
          <w:rFonts w:ascii="彩虹粗仿宋" w:eastAsia="彩虹粗仿宋" w:hAnsi="宋体" w:cs="Arial"/>
          <w:sz w:val="24"/>
        </w:rPr>
        <w:t>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1F3CDD40"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（3）固定收益品种的估值</w:t>
      </w:r>
    </w:p>
    <w:p w14:paraId="7D00B524"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①</w:t>
      </w:r>
      <w:r>
        <w:rPr>
          <w:rFonts w:ascii="彩虹粗仿宋" w:eastAsia="彩虹粗仿宋" w:hAnsi="宋体" w:cs="Arial"/>
          <w:sz w:val="24"/>
        </w:rPr>
        <w:t>对于已上市或已挂牌转让的不含权固定收益品种（另有规定的除外），选取估值日第三方估值基准服务机构提供的相应品种当日的估值全价进行估值；</w:t>
      </w:r>
    </w:p>
    <w:p w14:paraId="1F321E91"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②</w:t>
      </w:r>
      <w:r>
        <w:rPr>
          <w:rFonts w:ascii="彩虹粗仿宋" w:eastAsia="彩虹粗仿宋" w:hAnsi="宋体" w:cs="Arial"/>
          <w:sz w:val="24"/>
        </w:rPr>
        <w:t>对于已上市或已挂牌转让的含权固定收益品种（另有规定的除外），选取估值日第三方估值基准服务机构提供的相应品种当日的唯一估值全价或推荐估值全价进行估值。对于含投资者回售权的固定收益品种，行使回售权的，在回售登记日至实际收款日期间选取第三方估值基准服务机构提供的相应品种的唯一估值全价或推荐估值全价，同时充分考虑发行人的信用风险变化对公允价值的影响。回售登记期截止日（含当日）后未行使回售权的按照长待偿期所对应的价格进行估值；</w:t>
      </w:r>
    </w:p>
    <w:p w14:paraId="60CB5726"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③</w:t>
      </w:r>
      <w:r>
        <w:rPr>
          <w:rFonts w:ascii="彩虹粗仿宋" w:eastAsia="彩虹粗仿宋" w:hAnsi="宋体" w:cs="Arial"/>
          <w:sz w:val="24"/>
        </w:rPr>
        <w:t>对于在交易所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73DB28AA"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④</w:t>
      </w:r>
      <w:r>
        <w:rPr>
          <w:rFonts w:ascii="彩虹粗仿宋" w:eastAsia="彩虹粗仿宋" w:hAnsi="宋体" w:cs="Arial"/>
          <w:sz w:val="24"/>
        </w:rPr>
        <w:t>对于未上市或未挂牌转让且不存在活跃市场的固定收益品种，采用在当前情况下适用并且有足够可利用数据和其他信息支持的估值技术确定其公允价值。</w:t>
      </w:r>
    </w:p>
    <w:p w14:paraId="39B3F61F"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（4）本基金投资同业存单，按估值日第三方估值基准服务机构提供的估值全价估值；选定的第三方估值基准服务机构未提供估值价格的，按监管机构或行业协会有关规定确定公允价值。</w:t>
      </w:r>
    </w:p>
    <w:p w14:paraId="47F5E08C"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lastRenderedPageBreak/>
        <w:t>（5）同一证券同时在两个或两个以上市场交易的，按证券所处的市场分别估值。</w:t>
      </w:r>
    </w:p>
    <w:p w14:paraId="3EB43A2B"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（6）持有的银行定期存款或通知存款以本金和应计利息分别列示，按协议或合同利率逐日确认利息收入。</w:t>
      </w:r>
    </w:p>
    <w:p w14:paraId="23285F43"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7）本基金投资股指期货合约和国债期货合约，一般以估值当日结算价进行估值，估值当日无结算价的，且最近交易日后未发生影响公允价值计量的重大事件的，采用最近交易日结算价估值。当日结算价及结算规则以《中国金融期货交易所结算细则》为准。</w:t>
      </w:r>
    </w:p>
    <w:p w14:paraId="1D29F9E7" w14:textId="5C5BBAD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（8）本基金投资股票期权合约，根据相关法律法规以及监管部门的规定估值。</w:t>
      </w:r>
    </w:p>
    <w:p w14:paraId="6E64C3C5" w14:textId="461BA8BD"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w:t>
      </w:r>
      <w:r>
        <w:rPr>
          <w:rFonts w:ascii="彩虹粗仿宋" w:eastAsia="彩虹粗仿宋" w:hAnsi="宋体" w:cs="Arial" w:hint="eastAsia"/>
          <w:sz w:val="24"/>
        </w:rPr>
        <w:t>9</w:t>
      </w:r>
      <w:r>
        <w:rPr>
          <w:rFonts w:ascii="彩虹粗仿宋" w:eastAsia="彩虹粗仿宋" w:hAnsi="宋体" w:cs="Arial"/>
          <w:sz w:val="24"/>
        </w:rPr>
        <w:t>）本基金参与融资业务的，按照相关法律法规、监管部门和行业协会的相关规定进行估值。</w:t>
      </w:r>
    </w:p>
    <w:p w14:paraId="2AB746E4"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（10）估值计算中涉及港币对人民币汇率的，将依据下列信息提供机构所提供的汇率为基准：当日中国人民银行公布的人民币与港币的中间价。</w:t>
      </w:r>
    </w:p>
    <w:p w14:paraId="54276913"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06F6EC5A" w14:textId="2E25444F"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w:t>
      </w:r>
      <w:r>
        <w:rPr>
          <w:rFonts w:ascii="彩虹粗仿宋" w:eastAsia="彩虹粗仿宋" w:hAnsi="宋体" w:cs="Arial" w:hint="eastAsia"/>
          <w:sz w:val="24"/>
        </w:rPr>
        <w:t>1</w:t>
      </w:r>
      <w:r>
        <w:rPr>
          <w:rFonts w:ascii="彩虹粗仿宋" w:eastAsia="彩虹粗仿宋" w:hAnsi="宋体" w:cs="Arial"/>
          <w:sz w:val="24"/>
        </w:rPr>
        <w:t>1）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49D5E221" w14:textId="66BA68E2"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w:t>
      </w:r>
      <w:r>
        <w:rPr>
          <w:rFonts w:ascii="彩虹粗仿宋" w:eastAsia="彩虹粗仿宋" w:hAnsi="宋体" w:cs="Arial" w:hint="eastAsia"/>
          <w:sz w:val="24"/>
        </w:rPr>
        <w:t>1</w:t>
      </w:r>
      <w:r>
        <w:rPr>
          <w:rFonts w:ascii="彩虹粗仿宋" w:eastAsia="彩虹粗仿宋" w:hAnsi="宋体" w:cs="Arial"/>
          <w:sz w:val="24"/>
        </w:rPr>
        <w:t>2）如有确凿证据表明按上述方法进行估值不能客观反映其公允价值的，基金管理人可根据具体情况与基金托管人商定后，按最能反映公允价值的价格估值。</w:t>
      </w:r>
    </w:p>
    <w:p w14:paraId="2D50F6FD" w14:textId="4B515CE2"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sz w:val="24"/>
        </w:rPr>
        <w:t>3</w:t>
      </w:r>
      <w:r>
        <w:rPr>
          <w:rFonts w:ascii="彩虹粗仿宋" w:eastAsia="彩虹粗仿宋" w:hAnsi="宋体" w:cs="Arial" w:hint="eastAsia"/>
          <w:sz w:val="24"/>
        </w:rPr>
        <w:t>）</w:t>
      </w:r>
      <w:r>
        <w:rPr>
          <w:rFonts w:ascii="彩虹粗仿宋" w:eastAsia="彩虹粗仿宋" w:hAnsi="宋体" w:cs="Arial"/>
          <w:sz w:val="24"/>
        </w:rPr>
        <w:t>本基金可以采用第三方估值基准服务机构按照上述公允价值确定原则提供的估值价格数据。</w:t>
      </w:r>
      <w:r>
        <w:rPr>
          <w:rFonts w:ascii="彩虹粗仿宋" w:eastAsia="彩虹粗仿宋" w:hAnsi="宋体" w:cs="Arial" w:hint="eastAsia"/>
          <w:sz w:val="24"/>
        </w:rPr>
        <w:t>使用模型估值的，应当审慎确定模型参数，不得随意调整。</w:t>
      </w:r>
    </w:p>
    <w:p w14:paraId="16200A13" w14:textId="3C1C82AE"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对于仅依赖管理人所提供数据（包括不限于管理人自建模型定价）且无法从其他渠道获取可靠数据进行会计核算的投资品种，管理人应对该估值数据的真实性、准确性、完整性、合规性负责，因上述估值数据错误导致估值结果的不真实、不准确、不完整、不合规，托管人不承担任何责任。</w:t>
      </w:r>
    </w:p>
    <w:p w14:paraId="3D4F172D" w14:textId="160DAFA3"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w:t>
      </w:r>
      <w:r>
        <w:rPr>
          <w:rFonts w:ascii="彩虹粗仿宋" w:eastAsia="彩虹粗仿宋" w:hAnsi="宋体" w:cs="Arial" w:hint="eastAsia"/>
          <w:sz w:val="24"/>
        </w:rPr>
        <w:t>1</w:t>
      </w:r>
      <w:r>
        <w:rPr>
          <w:rFonts w:ascii="彩虹粗仿宋" w:eastAsia="彩虹粗仿宋" w:hAnsi="宋体" w:cs="Arial"/>
          <w:sz w:val="24"/>
        </w:rPr>
        <w:t>4）当发生大额申购或赎回情形时，基金管理人可以采用摆动定价机制，以确保基金估值的公平性。具体处理原则与操作规范遵循相关法律法规以及监管部门、自律规则的规定。</w:t>
      </w:r>
    </w:p>
    <w:p w14:paraId="1E38E447" w14:textId="5DDBCD88"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w:t>
      </w:r>
      <w:r>
        <w:rPr>
          <w:rFonts w:ascii="彩虹粗仿宋" w:eastAsia="彩虹粗仿宋" w:hAnsi="宋体" w:cs="Arial" w:hint="eastAsia"/>
          <w:sz w:val="24"/>
        </w:rPr>
        <w:t>1</w:t>
      </w:r>
      <w:r>
        <w:rPr>
          <w:rFonts w:ascii="彩虹粗仿宋" w:eastAsia="彩虹粗仿宋" w:hAnsi="宋体" w:cs="Arial"/>
          <w:sz w:val="24"/>
        </w:rPr>
        <w:t>5）相关法律法规以及监管部门有强制规定的，从其规定。如有新增事项，按</w:t>
      </w:r>
      <w:r>
        <w:rPr>
          <w:rFonts w:ascii="彩虹粗仿宋" w:eastAsia="彩虹粗仿宋" w:hAnsi="宋体" w:cs="Arial" w:hint="eastAsia"/>
          <w:sz w:val="24"/>
        </w:rPr>
        <w:t>法律法规</w:t>
      </w:r>
      <w:r>
        <w:rPr>
          <w:rFonts w:ascii="彩虹粗仿宋" w:eastAsia="彩虹粗仿宋" w:hAnsi="宋体" w:cs="Arial"/>
          <w:sz w:val="24"/>
        </w:rPr>
        <w:t>以及监管部门最新规定估值。</w:t>
      </w:r>
    </w:p>
    <w:p w14:paraId="079A43D9"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44299D52" w14:textId="56121E9F"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意见的，</w:t>
      </w:r>
      <w:r>
        <w:rPr>
          <w:rFonts w:ascii="彩虹粗仿宋" w:eastAsia="彩虹粗仿宋" w:hAnsi="宋体" w:cs="Arial" w:hint="eastAsia"/>
          <w:sz w:val="24"/>
        </w:rPr>
        <w:t>基金管理人向基金托管人出具盖章的书面说明后，</w:t>
      </w:r>
      <w:r>
        <w:rPr>
          <w:rFonts w:ascii="彩虹粗仿宋" w:eastAsia="彩虹粗仿宋" w:hAnsi="宋体" w:cs="Arial"/>
          <w:sz w:val="24"/>
        </w:rPr>
        <w:t>按照基金管理人对基金净值信息的计算结果按规定对外予以公布。</w:t>
      </w:r>
    </w:p>
    <w:p w14:paraId="5DCE560F" w14:textId="102DACB4"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lastRenderedPageBreak/>
        <w:t>3.特殊情况的处理</w:t>
      </w:r>
    </w:p>
    <w:p w14:paraId="4FC86932" w14:textId="4347414B"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w:t>
      </w:r>
      <w:r>
        <w:rPr>
          <w:rFonts w:ascii="彩虹粗仿宋" w:eastAsia="彩虹粗仿宋" w:hAnsi="宋体" w:cs="Arial" w:hint="eastAsia"/>
          <w:sz w:val="24"/>
        </w:rPr>
        <w:t>1）</w:t>
      </w:r>
      <w:r>
        <w:rPr>
          <w:rFonts w:ascii="彩虹粗仿宋" w:eastAsia="彩虹粗仿宋" w:hAnsi="宋体" w:cs="Arial"/>
          <w:sz w:val="24"/>
        </w:rPr>
        <w:t>基金管理人、基金托管人按估值方法的第(12)项进行估值时，所造成的误差不作为基金资产估值错误处理。</w:t>
      </w:r>
    </w:p>
    <w:p w14:paraId="567884A5"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由于不可抗力，或证券交易所、期货交易所、证券/期货经纪机构、登记结算机构、第三方估值基准服务机构及存款银行等第三方机构发送的数据错误、遗漏，或国家会计政策变更、市场规则变更等非基金管理人与基金托管人原因，基金管理人和基金托管人虽然已经采取必要、适当、合理的措施进行检查，但未能发现错误、遗漏或因上述原因未能及时更正的，由此造成的基金资产估值错误，基金管理人和基金托管人免除赔偿责任。但基金管理人、基金托管人应当积极采取必要的措施消除或减轻由此造成的影响。</w:t>
      </w:r>
    </w:p>
    <w:p w14:paraId="6785A081"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4.实施侧袋机制期间的基金资产估值</w:t>
      </w:r>
    </w:p>
    <w:p w14:paraId="0C6B694E"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本基金实施侧袋机制的，应根据本部分的约定对主袋账户资产进行估值并披露主袋账户的基金净值信息，暂停披露侧袋账户份额净值。</w:t>
      </w:r>
    </w:p>
    <w:p w14:paraId="0FB39328"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（三）基金份额净值错误的处理方式</w:t>
      </w:r>
    </w:p>
    <w:p w14:paraId="77211362" w14:textId="1FA0B42A"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1.当任一类基金份额净值小数点后4位以内(含第4位)发生估值错误时，视为该类基金份额净值错误；基金份额净值计算出现错误时，基金管理人应当立即予以纠正，通报基金托管人，并采取合理的措施防止损失进一步扩大；错误偏差达到或超过该类基金份额净值的0.25%时，基金管理人应当及时通报基金托管人并报中国证监会备案；错误偏差达到该类基金份额净值的0.5%时，基金管理人应当公告，并报中国证监会备案；当发生净值计算错误时，由基金管理人负责处理</w:t>
      </w:r>
      <w:r>
        <w:rPr>
          <w:rFonts w:ascii="彩虹粗仿宋" w:eastAsia="彩虹粗仿宋" w:hAnsi="宋体" w:cs="Arial" w:hint="eastAsia"/>
          <w:sz w:val="24"/>
        </w:rPr>
        <w:t>，由此给基金份额持 有人和基金造成损失的，应由基金管理人先行赔付，基金管理人按差错情形，有权向其他当事人追偿</w:t>
      </w:r>
      <w:r>
        <w:rPr>
          <w:rFonts w:ascii="彩虹粗仿宋" w:eastAsia="彩虹粗仿宋" w:hAnsi="宋体" w:cs="Arial"/>
          <w:sz w:val="24"/>
        </w:rPr>
        <w:t>。</w:t>
      </w:r>
    </w:p>
    <w:p w14:paraId="42A9A94D"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2.当基金份额净值计算差错给基金和基金份额持有人造成损失需要进行赔偿时，基金管理人和基金托管人应根据实际情况界定双方承担的责任，经确认后按以下条款进行赔偿：</w:t>
      </w:r>
    </w:p>
    <w:p w14:paraId="01D0D88D"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(1)本基金的基金会计责任方由基金管理人担任，与本基金有关的会计问题，如经相关各方在平等基础上充分讨论后，尚不能达成一致时，按基金管理人的建议执行，由此给基金份额持有人和基金财产造成的损失，由基金管理人负责赔付。</w:t>
      </w:r>
    </w:p>
    <w:p w14:paraId="44104A13"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(2)若基金管理人计算的各类基金份额净值已由基金托管人复核确认后公告，而且基金托管人未对计算过程提出疑义或要求基金管理人书面说明，各类基金份额净值出错且造成基金份额持有人损失的，应根据法律法规的规定对投资者或基金支付赔偿金，就实际向投资者或基金支付的赔偿金额，基金管理人与基金托管人按照管理费和托管费的比例各自承担相应的责任。</w:t>
      </w:r>
    </w:p>
    <w:p w14:paraId="3FF6A53A"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(3)如基金管理人和基金托管人对各类基金份额净值的计算结果，虽然多次重新计算和核对，尚不能达成一致时，为避免不能按时公布各类基金份额净值的情形，以基金管理人的计算结果对外公布，由此给基金份额持有人和基金造成的损失，由基金管理人负责赔付。</w:t>
      </w:r>
    </w:p>
    <w:p w14:paraId="742D893E"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(4)由于基金管理人提供的信息错误（包括但不限于基金申购或赎回金额等），进而导致基金份额净值计算错误而引起的基金份额持有人和基金财产的损失，由基金管理人负责赔付。</w:t>
      </w:r>
    </w:p>
    <w:p w14:paraId="7BF9733D" w14:textId="653F2ECF"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3.基金管理人和基金托管人由于各自技术系统设置而产生的净值计算尾差，以基金管理人计算结果为准。</w:t>
      </w:r>
    </w:p>
    <w:p w14:paraId="2BC6F69A" w14:textId="43F3AC6A"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4.前述内容如法律法规或者监管部门另有规定的，从其规定。如果行业另有通行做法，双方当事人应本着平等和保护基金份额持有人利益的原则进行协商。</w:t>
      </w:r>
    </w:p>
    <w:p w14:paraId="0AEF4D23"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lastRenderedPageBreak/>
        <w:t>（四）暂停估值与公告基金份额净值的情形</w:t>
      </w:r>
    </w:p>
    <w:p w14:paraId="196EED5E" w14:textId="762A49F4"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1.基金投资所涉及的证券、期货交易市场或外汇市场遇法定节假日或因其他原因暂停营业时；</w:t>
      </w:r>
    </w:p>
    <w:p w14:paraId="4F94E4B9"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2.因不可抗力或其他情形致使基金管理人、基金托管人无法准确评估基金资产价值时；</w:t>
      </w:r>
    </w:p>
    <w:p w14:paraId="1E17622E"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3.当特定资产占前一估值日基金资产净值50%以上时，经与基金托管人协商确认后，基金管理人应当暂停估值；</w:t>
      </w:r>
    </w:p>
    <w:p w14:paraId="021E3171" w14:textId="4F64019D"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w:t>
      </w:r>
      <w:r>
        <w:rPr>
          <w:rFonts w:ascii="彩虹粗仿宋" w:eastAsia="彩虹粗仿宋" w:hAnsi="宋体" w:cs="Arial"/>
          <w:sz w:val="24"/>
        </w:rPr>
        <w:t>法律法规规定中国证监会和《基金合同》认定的其它情形。</w:t>
      </w:r>
    </w:p>
    <w:p w14:paraId="5B5B6E67"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（五）基金会计制度</w:t>
      </w:r>
    </w:p>
    <w:p w14:paraId="5DA741A8"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按国家有关部门规定的会计制度执行。</w:t>
      </w:r>
    </w:p>
    <w:p w14:paraId="748EAB83"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（六）基金账册的建立</w:t>
      </w:r>
    </w:p>
    <w:p w14:paraId="2056A67F"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基金管理人进行基金会计核算并编制基金财务会计报告。基金管理人独立地设置、记录和保管本基金的全套账册。若基金管理人和基金托管人对会计处理方法存在分歧，应以基金管理人的处理方法为准。若当日核对不符，暂时无法查找到错账的原因而影响到基金净值信息的计算和公告的，以基金管理人的账册为准。</w:t>
      </w:r>
    </w:p>
    <w:p w14:paraId="373E0AD0"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（七）基金财务报表与报告的编制和复核</w:t>
      </w:r>
    </w:p>
    <w:p w14:paraId="62319BA3"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1.财务报表与报告的编制</w:t>
      </w:r>
    </w:p>
    <w:p w14:paraId="242CA065"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基金财务报表</w:t>
      </w:r>
      <w:bookmarkStart w:id="88" w:name="OLE_LINK37"/>
      <w:bookmarkStart w:id="89" w:name="OLE_LINK38"/>
      <w:r>
        <w:rPr>
          <w:rFonts w:ascii="彩虹粗仿宋" w:eastAsia="彩虹粗仿宋" w:hAnsi="宋体" w:cs="Arial"/>
          <w:sz w:val="24"/>
        </w:rPr>
        <w:t>与报告</w:t>
      </w:r>
      <w:bookmarkEnd w:id="88"/>
      <w:bookmarkEnd w:id="89"/>
      <w:r>
        <w:rPr>
          <w:rFonts w:ascii="彩虹粗仿宋" w:eastAsia="彩虹粗仿宋" w:hAnsi="宋体" w:cs="Arial"/>
          <w:sz w:val="24"/>
        </w:rPr>
        <w:t>由基金管理人编制，基金托管人复核。</w:t>
      </w:r>
    </w:p>
    <w:p w14:paraId="5F1216E9"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2.报表</w:t>
      </w:r>
      <w:r>
        <w:rPr>
          <w:rFonts w:ascii="彩虹粗仿宋" w:eastAsia="彩虹粗仿宋" w:hAnsi="宋体" w:cs="Arial" w:hint="eastAsia"/>
          <w:sz w:val="24"/>
        </w:rPr>
        <w:t>与报告的</w:t>
      </w:r>
      <w:r>
        <w:rPr>
          <w:rFonts w:ascii="彩虹粗仿宋" w:eastAsia="彩虹粗仿宋" w:hAnsi="宋体" w:cs="Arial"/>
          <w:sz w:val="24"/>
        </w:rPr>
        <w:t>复核</w:t>
      </w:r>
    </w:p>
    <w:p w14:paraId="5405C8C7"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基金托管人在收到基金管理人编制的基金财务报表</w:t>
      </w:r>
      <w:r>
        <w:rPr>
          <w:rFonts w:ascii="彩虹粗仿宋" w:eastAsia="彩虹粗仿宋" w:hAnsi="宋体" w:cs="Arial" w:hint="eastAsia"/>
          <w:sz w:val="24"/>
        </w:rPr>
        <w:t>与报告</w:t>
      </w:r>
      <w:r>
        <w:rPr>
          <w:rFonts w:ascii="彩虹粗仿宋" w:eastAsia="彩虹粗仿宋" w:hAnsi="宋体" w:cs="Arial"/>
          <w:sz w:val="24"/>
        </w:rPr>
        <w:t>后，进行独立的复核。核对不符时，应及时通知基金管理人共同查出原因，进行调整，直至双方数据完全一致。</w:t>
      </w:r>
    </w:p>
    <w:p w14:paraId="7CF455DA"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3.财务报表</w:t>
      </w:r>
      <w:r>
        <w:rPr>
          <w:rFonts w:ascii="彩虹粗仿宋" w:eastAsia="彩虹粗仿宋" w:hAnsi="宋体" w:cs="Arial" w:hint="eastAsia"/>
          <w:sz w:val="24"/>
        </w:rPr>
        <w:t>与报告</w:t>
      </w:r>
      <w:r>
        <w:rPr>
          <w:rFonts w:ascii="彩虹粗仿宋" w:eastAsia="彩虹粗仿宋" w:hAnsi="宋体" w:cs="Arial"/>
          <w:sz w:val="24"/>
        </w:rPr>
        <w:t>的编制与复核时间安排</w:t>
      </w:r>
    </w:p>
    <w:p w14:paraId="448E8B0D"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(1)报表与报告的编制</w:t>
      </w:r>
    </w:p>
    <w:p w14:paraId="2B793922"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基金管理人应当在每月结束后5个工作日内完成月度报表的编制；在季度结束之日起15个工作日内完成基金季度报告的编制；在上半年结束之日起</w:t>
      </w:r>
      <w:r>
        <w:rPr>
          <w:rFonts w:ascii="彩虹粗仿宋" w:eastAsia="彩虹粗仿宋" w:hAnsi="宋体" w:cs="Arial" w:hint="eastAsia"/>
          <w:sz w:val="24"/>
        </w:rPr>
        <w:t>2个月</w:t>
      </w:r>
      <w:r>
        <w:rPr>
          <w:rFonts w:ascii="彩虹粗仿宋" w:eastAsia="彩虹粗仿宋" w:hAnsi="宋体" w:cs="Arial"/>
          <w:sz w:val="24"/>
        </w:rPr>
        <w:t>内完成基金中期报告的编制；在每年结束之日起</w:t>
      </w:r>
      <w:r>
        <w:rPr>
          <w:rFonts w:ascii="彩虹粗仿宋" w:eastAsia="彩虹粗仿宋" w:hAnsi="宋体" w:cs="Arial" w:hint="eastAsia"/>
          <w:sz w:val="24"/>
        </w:rPr>
        <w:t>3个月</w:t>
      </w:r>
      <w:r>
        <w:rPr>
          <w:rFonts w:ascii="彩虹粗仿宋" w:eastAsia="彩虹粗仿宋" w:hAnsi="宋体" w:cs="Arial"/>
          <w:sz w:val="24"/>
        </w:rPr>
        <w:t>内完成基金年度报告的编制。</w:t>
      </w:r>
    </w:p>
    <w:p w14:paraId="649184CC"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基金年度报告的财务会计报告应当经过符合《中华人民共和国证券法》规定的会计师事务所审计。《基金合同》生效不足两个月的，基金管理人可以不编制当期季度报告、中期报告或者年度报告。</w:t>
      </w:r>
    </w:p>
    <w:p w14:paraId="3DA06FD5"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(2)报表</w:t>
      </w:r>
      <w:r>
        <w:rPr>
          <w:rFonts w:ascii="彩虹粗仿宋" w:eastAsia="彩虹粗仿宋" w:hAnsi="宋体" w:cs="Arial" w:hint="eastAsia"/>
          <w:sz w:val="24"/>
        </w:rPr>
        <w:t>与报告</w:t>
      </w:r>
      <w:r>
        <w:rPr>
          <w:rFonts w:ascii="彩虹粗仿宋" w:eastAsia="彩虹粗仿宋" w:hAnsi="宋体" w:cs="Arial"/>
          <w:sz w:val="24"/>
        </w:rPr>
        <w:t>的复核</w:t>
      </w:r>
    </w:p>
    <w:p w14:paraId="4EEF2388"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基金管理人应及时完成报表</w:t>
      </w:r>
      <w:r>
        <w:rPr>
          <w:rFonts w:ascii="彩虹粗仿宋" w:eastAsia="彩虹粗仿宋" w:hAnsi="宋体" w:cs="Arial" w:hint="eastAsia"/>
          <w:sz w:val="24"/>
        </w:rPr>
        <w:t>与报告的</w:t>
      </w:r>
      <w:r>
        <w:rPr>
          <w:rFonts w:ascii="彩虹粗仿宋" w:eastAsia="彩虹粗仿宋" w:hAnsi="宋体" w:cs="Arial"/>
          <w:sz w:val="24"/>
        </w:rPr>
        <w:t>编制，将有关报表提供基金托管人复核；基金托管人在复核过程中，发现双方的报表或报告存在不符时，基金管理人和基金托管人应共同查明原因，进行调整，调整以国家有关规定为准。</w:t>
      </w:r>
    </w:p>
    <w:p w14:paraId="4732FA7D" w14:textId="77777777" w:rsidR="00E77209" w:rsidRDefault="009B3274">
      <w:pPr>
        <w:pStyle w:val="a0"/>
        <w:adjustRightInd w:val="0"/>
        <w:snapToGrid w:val="0"/>
        <w:ind w:firstLine="480"/>
        <w:rPr>
          <w:rFonts w:ascii="彩虹粗仿宋" w:eastAsia="彩虹粗仿宋" w:hAnsi="宋体" w:cs="Arial"/>
          <w:sz w:val="24"/>
        </w:rPr>
      </w:pPr>
      <w:r>
        <w:rPr>
          <w:rFonts w:ascii="彩虹粗仿宋" w:eastAsia="彩虹粗仿宋" w:hAnsi="宋体" w:cs="Arial"/>
          <w:sz w:val="24"/>
        </w:rPr>
        <w:t>基金管理人应留足充分的时间，便于基金托管人复核相关报表及报告。</w:t>
      </w:r>
      <w:r>
        <w:rPr>
          <w:rFonts w:ascii="彩虹粗仿宋" w:eastAsia="彩虹粗仿宋" w:hAnsi="宋体" w:cs="Arial" w:hint="eastAsia"/>
          <w:sz w:val="24"/>
        </w:rPr>
        <w:t>如果基金管理人与基金托管人不能于应当发布公告之日之前就相关报表达成一致，基金管理人按照其编制的报表对外发布公告，基金托管人有权就相关情况报中国证监会备案。</w:t>
      </w:r>
    </w:p>
    <w:p w14:paraId="09C05E56" w14:textId="77777777" w:rsidR="00E77209" w:rsidRDefault="009B3274">
      <w:pPr>
        <w:pStyle w:val="a0"/>
        <w:adjustRightInd w:val="0"/>
        <w:snapToGrid w:val="0"/>
        <w:ind w:firstLine="480"/>
        <w:rPr>
          <w:rFonts w:ascii="彩虹粗仿宋" w:eastAsia="彩虹粗仿宋" w:hAnsi="宋体" w:cs="Arial"/>
          <w:sz w:val="24"/>
        </w:rPr>
      </w:pPr>
      <w:r>
        <w:rPr>
          <w:rFonts w:ascii="彩虹粗仿宋" w:eastAsia="彩虹粗仿宋" w:hAnsi="宋体" w:cs="Arial"/>
          <w:sz w:val="24"/>
        </w:rPr>
        <w:t>（八）基金管理人应在编制季度报告、中期报告或者年度报告之前及时向基金托管人提供基金业绩比较基准的基础数据和编制结果。</w:t>
      </w:r>
    </w:p>
    <w:p w14:paraId="33EFC350" w14:textId="77777777" w:rsidR="00E77209" w:rsidRDefault="00E77209">
      <w:pPr>
        <w:pStyle w:val="a0"/>
        <w:adjustRightInd w:val="0"/>
        <w:snapToGrid w:val="0"/>
        <w:ind w:firstLineChars="0" w:firstLine="0"/>
        <w:rPr>
          <w:rFonts w:ascii="彩虹粗仿宋" w:eastAsia="彩虹粗仿宋" w:hAnsi="宋体" w:cs="Arial"/>
          <w:sz w:val="24"/>
        </w:rPr>
      </w:pPr>
    </w:p>
    <w:p w14:paraId="1024A523" w14:textId="77777777" w:rsidR="00E77209" w:rsidRDefault="009B3274">
      <w:pPr>
        <w:pStyle w:val="2"/>
        <w:jc w:val="center"/>
        <w:rPr>
          <w:rFonts w:ascii="彩虹粗仿宋" w:eastAsia="彩虹粗仿宋"/>
          <w:sz w:val="30"/>
        </w:rPr>
      </w:pPr>
      <w:bookmarkStart w:id="90" w:name="_Toc124325893"/>
      <w:r>
        <w:rPr>
          <w:rFonts w:ascii="彩虹粗仿宋" w:eastAsia="彩虹粗仿宋" w:hint="eastAsia"/>
          <w:sz w:val="30"/>
        </w:rPr>
        <w:lastRenderedPageBreak/>
        <w:t>九、基金收益分配</w:t>
      </w:r>
      <w:bookmarkEnd w:id="90"/>
    </w:p>
    <w:p w14:paraId="68DFF7B8"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基金收益分配是指按规定将基金的可分配收益按基金份额进行比例分配。</w:t>
      </w:r>
    </w:p>
    <w:p w14:paraId="732F3D09"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（一）基金收益分配的原则</w:t>
      </w:r>
    </w:p>
    <w:p w14:paraId="76457163"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基金收益分配应遵循下列原则：</w:t>
      </w:r>
    </w:p>
    <w:p w14:paraId="611BCB30" w14:textId="146FFF0B"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sz w:val="24"/>
        </w:rPr>
        <w:t>1</w:t>
      </w:r>
      <w:r>
        <w:rPr>
          <w:rFonts w:ascii="彩虹粗仿宋" w:eastAsia="彩虹粗仿宋" w:hAnsi="宋体" w:cs="Arial" w:hint="eastAsia"/>
          <w:sz w:val="24"/>
        </w:rPr>
        <w:t>.</w:t>
      </w:r>
      <w:r>
        <w:rPr>
          <w:rFonts w:ascii="彩虹粗仿宋" w:eastAsia="彩虹粗仿宋" w:hAnsi="宋体" w:cs="Arial"/>
          <w:sz w:val="24"/>
        </w:rPr>
        <w:t>在符合有关基金分红条件的前提下，本基金每年收益分配次数最多为12次，若《基金合同》生效不满3个月可不进行收益分配；</w:t>
      </w:r>
    </w:p>
    <w:p w14:paraId="024EE3C2" w14:textId="279810C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sz w:val="24"/>
        </w:rPr>
        <w:t>2</w:t>
      </w:r>
      <w:r>
        <w:rPr>
          <w:rFonts w:ascii="彩虹粗仿宋" w:eastAsia="彩虹粗仿宋" w:hAnsi="宋体" w:cs="Arial" w:hint="eastAsia"/>
          <w:sz w:val="24"/>
        </w:rPr>
        <w:t>.本基金收益分配仅有现金分红一种方式</w:t>
      </w:r>
      <w:r>
        <w:rPr>
          <w:rFonts w:ascii="彩虹粗仿宋" w:eastAsia="彩虹粗仿宋" w:hAnsi="宋体" w:cs="Arial"/>
          <w:sz w:val="24"/>
        </w:rPr>
        <w:t>；</w:t>
      </w:r>
    </w:p>
    <w:p w14:paraId="27842B7F" w14:textId="0FC87C96"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sz w:val="24"/>
        </w:rPr>
        <w:t>3</w:t>
      </w:r>
      <w:r>
        <w:rPr>
          <w:rFonts w:ascii="彩虹粗仿宋" w:eastAsia="彩虹粗仿宋" w:hAnsi="宋体" w:cs="Arial" w:hint="eastAsia"/>
          <w:sz w:val="24"/>
        </w:rPr>
        <w:t>.</w:t>
      </w:r>
      <w:r>
        <w:rPr>
          <w:rFonts w:ascii="彩虹粗仿宋" w:eastAsia="彩虹粗仿宋" w:hAnsi="宋体" w:cs="Arial"/>
          <w:sz w:val="24"/>
        </w:rPr>
        <w:t>基金收益分配后任一类基金份额净值不能低于面值；即基金收益分配基准日的任一类基金份额净值减去该类每单位基金份额收益分配金额后不能低于面值；</w:t>
      </w:r>
    </w:p>
    <w:p w14:paraId="14856C73" w14:textId="19603540"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sz w:val="24"/>
        </w:rPr>
        <w:t>4</w:t>
      </w:r>
      <w:r>
        <w:rPr>
          <w:rFonts w:ascii="彩虹粗仿宋" w:eastAsia="彩虹粗仿宋" w:hAnsi="宋体" w:cs="Arial" w:hint="eastAsia"/>
          <w:sz w:val="24"/>
        </w:rPr>
        <w:t>.本基金各基金份额类别在费用收取上不同，其对应的可分配收益可能有所不同。同一类别的</w:t>
      </w:r>
      <w:r>
        <w:rPr>
          <w:rFonts w:ascii="彩虹粗仿宋" w:eastAsia="彩虹粗仿宋" w:hAnsi="宋体" w:cs="Arial"/>
          <w:sz w:val="24"/>
        </w:rPr>
        <w:t>每一基金份额享有同等分配权；</w:t>
      </w:r>
    </w:p>
    <w:p w14:paraId="5D9E42EE" w14:textId="1AE798EA"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sz w:val="24"/>
        </w:rPr>
        <w:t>5</w:t>
      </w:r>
      <w:r>
        <w:rPr>
          <w:rFonts w:ascii="彩虹粗仿宋" w:eastAsia="彩虹粗仿宋" w:hAnsi="宋体" w:cs="Arial" w:hint="eastAsia"/>
          <w:sz w:val="24"/>
        </w:rPr>
        <w:t>.</w:t>
      </w:r>
      <w:r>
        <w:rPr>
          <w:rFonts w:ascii="彩虹粗仿宋" w:eastAsia="彩虹粗仿宋" w:hAnsi="宋体" w:cs="Arial"/>
          <w:sz w:val="24"/>
        </w:rPr>
        <w:t>法律法规或监管机构另有规定的，从其规定。</w:t>
      </w:r>
    </w:p>
    <w:p w14:paraId="1B7A856C"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在不违背法律法规规定、基金合同的约定且对基金份额持有人利益无实质性不利影响的前提下，基金管理人经与基金托管人协商一致，按照监管部门要求履行适当程序后可调整基金收益的分配原则。</w:t>
      </w:r>
    </w:p>
    <w:p w14:paraId="465D355C"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本基金每次收益分配比例详见届时基金管理人发布的公告。</w:t>
      </w:r>
    </w:p>
    <w:p w14:paraId="00D4DBF3"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（二）基金收益分配的时间和程序</w:t>
      </w:r>
    </w:p>
    <w:p w14:paraId="01069E5F"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本基金收益分配方案由基金管理人拟订，并由基金托管人复核，按规定在规定媒介公告。基金收益分配方案公告后(依据具体方案的规定)，基金管理人就支付的现金红利向基金托管人发送划款指令，基金托管人按照基金管理人的指令及时进行分红资金的划付。</w:t>
      </w:r>
    </w:p>
    <w:p w14:paraId="75F6529D" w14:textId="41E2197B"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基金收益分配时所发生的银行转账或其他手续费用由投资者自行承担。</w:t>
      </w:r>
    </w:p>
    <w:p w14:paraId="05CC4DE8"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（三）实施侧袋机制期间的收益分配</w:t>
      </w:r>
    </w:p>
    <w:p w14:paraId="09D561A0"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本基金实施侧袋机制的，侧袋账户不进行收益分配，详见招募说明书的规定或相关公告。</w:t>
      </w:r>
    </w:p>
    <w:p w14:paraId="5A0EEE45" w14:textId="77777777" w:rsidR="00E77209" w:rsidRDefault="00E77209">
      <w:pPr>
        <w:adjustRightInd w:val="0"/>
        <w:snapToGrid w:val="0"/>
        <w:rPr>
          <w:rFonts w:ascii="彩虹粗仿宋" w:eastAsia="彩虹粗仿宋" w:hAnsi="宋体" w:cs="Arial"/>
          <w:sz w:val="24"/>
        </w:rPr>
      </w:pPr>
    </w:p>
    <w:p w14:paraId="09D7C149" w14:textId="77777777" w:rsidR="00E77209" w:rsidRDefault="009B3274">
      <w:pPr>
        <w:pStyle w:val="2"/>
        <w:jc w:val="center"/>
        <w:rPr>
          <w:rFonts w:ascii="彩虹粗仿宋" w:eastAsia="彩虹粗仿宋"/>
          <w:sz w:val="30"/>
        </w:rPr>
      </w:pPr>
      <w:bookmarkStart w:id="91" w:name="_Toc124325894"/>
      <w:r>
        <w:rPr>
          <w:rFonts w:ascii="彩虹粗仿宋" w:eastAsia="彩虹粗仿宋" w:hint="eastAsia"/>
          <w:sz w:val="30"/>
        </w:rPr>
        <w:t>十、基金信息披露</w:t>
      </w:r>
      <w:bookmarkEnd w:id="91"/>
    </w:p>
    <w:p w14:paraId="351EB66E"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（一）保密义务</w:t>
      </w:r>
    </w:p>
    <w:p w14:paraId="76497A8A"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和基金管理人应按法律法规、《基金合同》的有关规定进行信息披露，拟公开披露的信息在公开披露之前应予保密。除按《基金法》、《基金合同》、《运作办法》、《信息披露办法》、《流动性风险管理规定》及其他有关规定进行信息披露外，基金管理人和基金托管人对基金运作中产生的信息以及从对方获得的业务信息应予保密。但是，如下情况不应视为基金管理人或基金托管人违反保密义务：</w:t>
      </w:r>
    </w:p>
    <w:p w14:paraId="7BEF0580"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1.非因基金管理人和基金托管人的原因导致保密信息被披露、泄露或公开；</w:t>
      </w:r>
    </w:p>
    <w:p w14:paraId="1BB30BFE" w14:textId="19F860AC"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2.基金管理人和基金托管人为遵守和服从法院判决或裁定、仲裁裁决或中国证监会等监管机构的命令、决定所做出的信息披露或公开</w:t>
      </w:r>
      <w:r>
        <w:rPr>
          <w:rFonts w:ascii="彩虹粗仿宋" w:eastAsia="彩虹粗仿宋" w:hAnsi="宋体" w:cs="Arial"/>
          <w:sz w:val="24"/>
        </w:rPr>
        <w:t>；</w:t>
      </w:r>
    </w:p>
    <w:p w14:paraId="3EDFD8EE" w14:textId="68A169EB"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w:t>
      </w:r>
      <w:r>
        <w:rPr>
          <w:rFonts w:ascii="彩虹粗仿宋" w:eastAsia="彩虹粗仿宋" w:hAnsi="宋体" w:cs="Arial"/>
          <w:sz w:val="24"/>
        </w:rPr>
        <w:t>.</w:t>
      </w:r>
      <w:r>
        <w:rPr>
          <w:rFonts w:ascii="彩虹粗仿宋" w:eastAsia="彩虹粗仿宋" w:hAnsi="宋体" w:cs="Arial" w:hint="eastAsia"/>
          <w:sz w:val="24"/>
        </w:rPr>
        <w:t>向审计、法律等外部专业顾问提供必要信息的情况。</w:t>
      </w:r>
    </w:p>
    <w:p w14:paraId="2C91EB25"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（二）信息披露的内容</w:t>
      </w:r>
    </w:p>
    <w:p w14:paraId="74F6A542"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基金的信息披露内容主要包括基金招募说明书、《基金合同》、托管协议、基金产品资料概要、基金份额发售公告、《基金合同》生效公告、基金净值信息、基金</w:t>
      </w:r>
      <w:r>
        <w:rPr>
          <w:rFonts w:ascii="彩虹粗仿宋" w:eastAsia="彩虹粗仿宋" w:hAnsi="宋体" w:cs="Arial" w:hint="eastAsia"/>
          <w:sz w:val="24"/>
        </w:rPr>
        <w:lastRenderedPageBreak/>
        <w:t>份额申购、赎回价格、基金定期报告（包括基金年度报告、基金中期报告和基金季度报告）、临时报告、澄清公告、基金份额持有人大会决议、清算报告、实施侧袋机制期间的信息披露、投资港股通标的股票、存托凭证、股指期货、国债期货、股票期权、资产支持证券的信息披露、参与融资的信息披露、中国证监会规定的其他信息。基金年度报告需经符合《中华人民共和国证券法》规定的会计师事务所审计后，方可披露。</w:t>
      </w:r>
    </w:p>
    <w:p w14:paraId="352EC55F"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（三）基金托管人和基金管理人在信息披露中的职责和信息披露程序</w:t>
      </w:r>
    </w:p>
    <w:p w14:paraId="5E5692AB"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1.职责</w:t>
      </w:r>
    </w:p>
    <w:p w14:paraId="3A459D10"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和基金管理人在信息披露过程中应以保护基金份额持有人利益为宗旨，诚实信用，严守秘密。基金管理人负责办理与基金有关的信息披露事宜，基金托管人应当按照相关法律法规和《基金合同》的约定，对于上一款规定的应由基金托管人复核的事项进行复核，基金托管人复核无误后，由基金管理人予以公布。基金管理人在信息披露时，应说明基金托管人所复核的数据和信息。对于基金托管人复核结果与基金管理人无法达成一致的，基金管理人应按照有关法律法规进行信息披露。</w:t>
      </w:r>
    </w:p>
    <w:p w14:paraId="79845864"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对于不需要基金托管人复核的信息，基金管理人在公告前应告知基金托管人。</w:t>
      </w:r>
    </w:p>
    <w:p w14:paraId="653FF354"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基金管理人和基金托管人应积极配合、互相监督，保证其履行按照法定方式和限时披露的义务。</w:t>
      </w:r>
    </w:p>
    <w:p w14:paraId="6166D938" w14:textId="1369487F"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基金管理人应当在中国证监会规定的时间内，将应予披露的基金信息通过规定媒介披露。根据法律法规应由基金托管人公开披露的信息，基金托管人将通过规定媒介公开披露。</w:t>
      </w:r>
    </w:p>
    <w:p w14:paraId="41A83546"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当出现下述情况时，基金管理人和基金托管人可暂停或延迟披露基金相关信息：</w:t>
      </w:r>
    </w:p>
    <w:p w14:paraId="6D10A8E6"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(1)因不可抗力或其他情形致使基金管理人、基金托管人无法准确评估基金资产价值时；</w:t>
      </w:r>
    </w:p>
    <w:p w14:paraId="332C8407" w14:textId="490EE7BC"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(2)基金投资所涉及的证券、期货交易市场或外汇市场遇法定节假日或因其他原因暂停营业时；</w:t>
      </w:r>
    </w:p>
    <w:p w14:paraId="4DD1DFC7" w14:textId="5BDCE898"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(3)发生基金合同约定的其他暂停估值的情形；</w:t>
      </w:r>
    </w:p>
    <w:p w14:paraId="0782A9F7" w14:textId="111690D2"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(4)出现法律法规、中国证监会规定或《基金合同》约定的其他情形。</w:t>
      </w:r>
    </w:p>
    <w:p w14:paraId="3ABF25F3"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2.程序</w:t>
      </w:r>
    </w:p>
    <w:p w14:paraId="521F9E1D"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按有关规定须经基金托管人复核的信息披露文件，由基金管理人起草、并经基金托管人复核后由基金管理人公告。发生《基金合同》中规定需要披露的事项时，按《基金合同》规定公布。</w:t>
      </w:r>
    </w:p>
    <w:p w14:paraId="22019947"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3.信息文本的存放</w:t>
      </w:r>
    </w:p>
    <w:p w14:paraId="3261EAFF"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予以披露的信息文本，存放在基金管理人/基金托管人处，投资者可以免费查阅。在支付工本费后可在合理时间获得上述文件的复制件或复印件。基金管理人和基金托管人应保证文本的内容与所公告的内容完全一致。</w:t>
      </w:r>
    </w:p>
    <w:p w14:paraId="718106EF"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（四）实施侧袋机制期间的信息披露</w:t>
      </w:r>
    </w:p>
    <w:p w14:paraId="7DF3F7E8"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本基金实施侧袋机制的，相关信息披露义务人应当根据法律法规、基金合同和招募说明书的规定进行信息披露，详见招募说明书的规定。</w:t>
      </w:r>
    </w:p>
    <w:p w14:paraId="137A6D81"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（五）法律法规或监管部门对适用于本基金的信息披露另有规定的，从其规定。如规定发生变化的，从其最新规定。</w:t>
      </w:r>
    </w:p>
    <w:p w14:paraId="5AC7A8D5" w14:textId="77777777" w:rsidR="00E77209" w:rsidRDefault="00E77209">
      <w:pPr>
        <w:pStyle w:val="a0"/>
        <w:ind w:firstLineChars="0" w:firstLine="0"/>
        <w:rPr>
          <w:rFonts w:ascii="彩虹粗仿宋" w:eastAsia="彩虹粗仿宋" w:hAnsi="宋体" w:cs="Arial"/>
          <w:sz w:val="24"/>
        </w:rPr>
      </w:pPr>
    </w:p>
    <w:p w14:paraId="38A4CB58" w14:textId="77777777" w:rsidR="00E77209" w:rsidRDefault="009B3274">
      <w:pPr>
        <w:pStyle w:val="2"/>
        <w:jc w:val="center"/>
        <w:rPr>
          <w:rFonts w:ascii="彩虹粗仿宋" w:eastAsia="彩虹粗仿宋"/>
          <w:sz w:val="30"/>
        </w:rPr>
      </w:pPr>
      <w:bookmarkStart w:id="92" w:name="_Toc124325895"/>
      <w:r>
        <w:rPr>
          <w:rFonts w:ascii="彩虹粗仿宋" w:eastAsia="彩虹粗仿宋" w:hint="eastAsia"/>
          <w:sz w:val="30"/>
        </w:rPr>
        <w:lastRenderedPageBreak/>
        <w:t>十一、基金费用</w:t>
      </w:r>
      <w:bookmarkEnd w:id="92"/>
    </w:p>
    <w:p w14:paraId="2519D240"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（一）基金管理人的管理费</w:t>
      </w:r>
    </w:p>
    <w:p w14:paraId="6AA3AE93"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本基金根据每一基金份额的持有期限与持有期间年化收益率，在赎回、转出基金份额或基金合同终止清算时确定该笔基金份额对应的管理费。当投资者赎回、转出基金份额或基金合同终止清算时，持有期限不足一年（即365天，下同），则按1.20%年费率收取管理费；持有期限达到一年及以上，则根据持有期间年化收益率分为以下三种情况，分别确定对应的管理费率档位：</w:t>
      </w:r>
    </w:p>
    <w:p w14:paraId="246D28A0"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若持有期间相对业绩比较基准的年化超额收益率（扣除超额管理费后）超过6%且持有收益率（扣除超额管理费后）为正，按1.50%年费率确认管理费；若持有期间相对业绩比较基准的年化超额收益率在-3%及以下，按0.60%年费率确认管理费；其他情形按1.20%年费率确认管理费。</w:t>
      </w:r>
    </w:p>
    <w:tbl>
      <w:tblPr>
        <w:tblW w:w="6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2831"/>
      </w:tblGrid>
      <w:tr w:rsidR="00E77209" w14:paraId="53B9CEDA" w14:textId="77777777">
        <w:trPr>
          <w:trHeight w:val="510"/>
          <w:jc w:val="center"/>
        </w:trPr>
        <w:tc>
          <w:tcPr>
            <w:tcW w:w="3827" w:type="dxa"/>
            <w:vAlign w:val="center"/>
          </w:tcPr>
          <w:p w14:paraId="0ABC5932" w14:textId="77777777" w:rsidR="00E77209" w:rsidRDefault="009B3274">
            <w:pPr>
              <w:spacing w:line="276" w:lineRule="auto"/>
              <w:jc w:val="center"/>
              <w:rPr>
                <w:b/>
                <w:szCs w:val="21"/>
              </w:rPr>
            </w:pPr>
            <w:bookmarkStart w:id="93" w:name="_Hlk196342079"/>
            <w:r>
              <w:rPr>
                <w:b/>
                <w:szCs w:val="21"/>
              </w:rPr>
              <w:t>持有期间年化收益率（</w:t>
            </w:r>
            <w:r>
              <w:rPr>
                <w:b/>
                <w:szCs w:val="21"/>
              </w:rPr>
              <w:t>R</w:t>
            </w:r>
            <w:r>
              <w:rPr>
                <w:b/>
                <w:szCs w:val="21"/>
              </w:rPr>
              <w:t>）</w:t>
            </w:r>
          </w:p>
        </w:tc>
        <w:tc>
          <w:tcPr>
            <w:tcW w:w="2831" w:type="dxa"/>
            <w:vAlign w:val="center"/>
          </w:tcPr>
          <w:p w14:paraId="76B6892F" w14:textId="77777777" w:rsidR="00E77209" w:rsidRDefault="009B3274">
            <w:pPr>
              <w:spacing w:line="276" w:lineRule="auto"/>
              <w:jc w:val="center"/>
              <w:rPr>
                <w:rFonts w:ascii="彩虹粗仿宋" w:eastAsia="彩虹粗仿宋" w:hAnsi="宋体" w:cs="Arial"/>
                <w:szCs w:val="21"/>
              </w:rPr>
            </w:pPr>
            <w:r>
              <w:rPr>
                <w:rFonts w:ascii="彩虹粗仿宋" w:eastAsia="彩虹粗仿宋" w:hAnsi="宋体" w:cs="Arial"/>
                <w:szCs w:val="21"/>
              </w:rPr>
              <w:t>管理费率（年费率）</w:t>
            </w:r>
          </w:p>
        </w:tc>
      </w:tr>
      <w:tr w:rsidR="00E77209" w14:paraId="6360D122" w14:textId="77777777">
        <w:trPr>
          <w:trHeight w:val="491"/>
          <w:jc w:val="center"/>
        </w:trPr>
        <w:tc>
          <w:tcPr>
            <w:tcW w:w="3827" w:type="dxa"/>
            <w:vAlign w:val="center"/>
          </w:tcPr>
          <w:p w14:paraId="1A4167ED" w14:textId="77777777" w:rsidR="00E77209" w:rsidRDefault="009B3274">
            <w:pPr>
              <w:spacing w:line="276" w:lineRule="auto"/>
              <w:jc w:val="center"/>
              <w:rPr>
                <w:b/>
                <w:szCs w:val="21"/>
              </w:rPr>
            </w:pPr>
            <w:r>
              <w:rPr>
                <w:bCs/>
                <w:szCs w:val="21"/>
              </w:rPr>
              <w:t>R</w:t>
            </w:r>
            <w:r>
              <w:rPr>
                <w:rFonts w:eastAsia="仿宋"/>
                <w:bCs/>
                <w:szCs w:val="21"/>
              </w:rPr>
              <w:t>＞</w:t>
            </w:r>
            <w:r>
              <w:rPr>
                <w:bCs/>
                <w:szCs w:val="21"/>
              </w:rPr>
              <w:t>R</w:t>
            </w:r>
            <w:r>
              <w:rPr>
                <w:spacing w:val="-2"/>
                <w:szCs w:val="21"/>
                <w:vertAlign w:val="subscript"/>
              </w:rPr>
              <w:t>b</w:t>
            </w:r>
            <w:r>
              <w:rPr>
                <w:bCs/>
                <w:szCs w:val="21"/>
              </w:rPr>
              <w:t>+6%</w:t>
            </w:r>
            <w:r>
              <w:rPr>
                <w:bCs/>
                <w:szCs w:val="21"/>
              </w:rPr>
              <w:t>，</w:t>
            </w:r>
            <w:r>
              <w:rPr>
                <w:bCs/>
                <w:szCs w:val="21"/>
              </w:rPr>
              <w:t>R</w:t>
            </w:r>
            <w:r>
              <w:rPr>
                <w:rFonts w:eastAsia="仿宋"/>
                <w:bCs/>
                <w:szCs w:val="21"/>
              </w:rPr>
              <w:t>＞</w:t>
            </w:r>
            <w:r>
              <w:rPr>
                <w:bCs/>
                <w:szCs w:val="21"/>
              </w:rPr>
              <w:t>0</w:t>
            </w:r>
          </w:p>
        </w:tc>
        <w:tc>
          <w:tcPr>
            <w:tcW w:w="2831" w:type="dxa"/>
            <w:vAlign w:val="center"/>
          </w:tcPr>
          <w:p w14:paraId="5A3CA3B2" w14:textId="77777777" w:rsidR="00E77209" w:rsidRDefault="009B3274">
            <w:pPr>
              <w:spacing w:line="276" w:lineRule="auto"/>
              <w:jc w:val="center"/>
              <w:rPr>
                <w:rFonts w:ascii="彩虹粗仿宋" w:eastAsia="彩虹粗仿宋" w:hAnsi="宋体" w:cs="Arial"/>
                <w:szCs w:val="21"/>
              </w:rPr>
            </w:pPr>
            <w:r>
              <w:rPr>
                <w:rFonts w:ascii="彩虹粗仿宋" w:eastAsia="彩虹粗仿宋" w:hAnsi="宋体" w:cs="Arial"/>
                <w:szCs w:val="21"/>
              </w:rPr>
              <w:t>1.50%/年</w:t>
            </w:r>
          </w:p>
        </w:tc>
      </w:tr>
      <w:tr w:rsidR="00E77209" w14:paraId="788ACC3E" w14:textId="77777777">
        <w:trPr>
          <w:trHeight w:val="510"/>
          <w:jc w:val="center"/>
        </w:trPr>
        <w:tc>
          <w:tcPr>
            <w:tcW w:w="3827" w:type="dxa"/>
            <w:vAlign w:val="center"/>
          </w:tcPr>
          <w:p w14:paraId="1443EDA8" w14:textId="77777777" w:rsidR="00E77209" w:rsidRDefault="009B3274">
            <w:pPr>
              <w:spacing w:line="276" w:lineRule="auto"/>
              <w:jc w:val="center"/>
              <w:rPr>
                <w:bCs/>
                <w:szCs w:val="21"/>
              </w:rPr>
            </w:pPr>
            <w:r>
              <w:rPr>
                <w:bCs/>
                <w:szCs w:val="21"/>
              </w:rPr>
              <w:t>R</w:t>
            </w:r>
            <w:r>
              <w:rPr>
                <w:rFonts w:eastAsia="仿宋"/>
                <w:bCs/>
                <w:szCs w:val="21"/>
              </w:rPr>
              <w:t>≤</w:t>
            </w:r>
            <w:r>
              <w:rPr>
                <w:bCs/>
                <w:szCs w:val="21"/>
              </w:rPr>
              <w:t>R</w:t>
            </w:r>
            <w:r>
              <w:rPr>
                <w:spacing w:val="-2"/>
                <w:szCs w:val="21"/>
                <w:vertAlign w:val="subscript"/>
              </w:rPr>
              <w:t>b</w:t>
            </w:r>
            <w:r>
              <w:rPr>
                <w:bCs/>
                <w:szCs w:val="21"/>
              </w:rPr>
              <w:t>-3%</w:t>
            </w:r>
          </w:p>
        </w:tc>
        <w:tc>
          <w:tcPr>
            <w:tcW w:w="2831" w:type="dxa"/>
            <w:vAlign w:val="center"/>
          </w:tcPr>
          <w:p w14:paraId="0D00F384" w14:textId="77777777" w:rsidR="00E77209" w:rsidRDefault="009B3274">
            <w:pPr>
              <w:spacing w:line="276" w:lineRule="auto"/>
              <w:jc w:val="center"/>
              <w:rPr>
                <w:rFonts w:ascii="彩虹粗仿宋" w:eastAsia="彩虹粗仿宋" w:hAnsi="宋体" w:cs="Arial"/>
                <w:szCs w:val="21"/>
              </w:rPr>
            </w:pPr>
            <w:r>
              <w:rPr>
                <w:rFonts w:ascii="彩虹粗仿宋" w:eastAsia="彩虹粗仿宋" w:hAnsi="宋体" w:cs="Arial"/>
                <w:szCs w:val="21"/>
              </w:rPr>
              <w:t>0.60%/年</w:t>
            </w:r>
          </w:p>
        </w:tc>
      </w:tr>
      <w:tr w:rsidR="00E77209" w14:paraId="3182E242" w14:textId="77777777">
        <w:trPr>
          <w:trHeight w:val="510"/>
          <w:jc w:val="center"/>
        </w:trPr>
        <w:tc>
          <w:tcPr>
            <w:tcW w:w="3827" w:type="dxa"/>
            <w:vAlign w:val="center"/>
          </w:tcPr>
          <w:p w14:paraId="7FCA56B0" w14:textId="77777777" w:rsidR="00E77209" w:rsidRDefault="009B3274">
            <w:pPr>
              <w:spacing w:line="276" w:lineRule="auto"/>
              <w:jc w:val="center"/>
              <w:rPr>
                <w:bCs/>
                <w:szCs w:val="21"/>
              </w:rPr>
            </w:pPr>
            <w:r>
              <w:rPr>
                <w:rFonts w:ascii="彩虹粗仿宋" w:eastAsia="彩虹粗仿宋" w:hAnsi="宋体" w:cs="Arial"/>
                <w:szCs w:val="21"/>
              </w:rPr>
              <w:t>其他情形</w:t>
            </w:r>
          </w:p>
        </w:tc>
        <w:tc>
          <w:tcPr>
            <w:tcW w:w="2831" w:type="dxa"/>
            <w:vAlign w:val="center"/>
          </w:tcPr>
          <w:p w14:paraId="106C9AFF" w14:textId="77777777" w:rsidR="00E77209" w:rsidRDefault="009B3274">
            <w:pPr>
              <w:spacing w:line="276" w:lineRule="auto"/>
              <w:jc w:val="center"/>
              <w:rPr>
                <w:rFonts w:ascii="彩虹粗仿宋" w:eastAsia="彩虹粗仿宋" w:hAnsi="宋体" w:cs="Arial"/>
                <w:szCs w:val="21"/>
              </w:rPr>
            </w:pPr>
            <w:r>
              <w:rPr>
                <w:rFonts w:ascii="彩虹粗仿宋" w:eastAsia="彩虹粗仿宋" w:hAnsi="宋体" w:cs="Arial"/>
                <w:szCs w:val="21"/>
              </w:rPr>
              <w:t>1.20%/年</w:t>
            </w:r>
          </w:p>
        </w:tc>
      </w:tr>
    </w:tbl>
    <w:bookmarkEnd w:id="93"/>
    <w:p w14:paraId="052ECB9B"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注：①R为该笔份额的年化收益率，</w:t>
      </w:r>
      <w:proofErr w:type="spellStart"/>
      <w:r>
        <w:rPr>
          <w:bCs/>
          <w:sz w:val="24"/>
        </w:rPr>
        <w:t>R</w:t>
      </w:r>
      <w:r>
        <w:rPr>
          <w:bCs/>
          <w:sz w:val="24"/>
          <w:vertAlign w:val="subscript"/>
        </w:rPr>
        <w:t>b</w:t>
      </w:r>
      <w:proofErr w:type="spellEnd"/>
      <w:r>
        <w:rPr>
          <w:rFonts w:ascii="彩虹粗仿宋" w:eastAsia="彩虹粗仿宋" w:hAnsi="宋体" w:cs="Arial" w:hint="eastAsia"/>
          <w:sz w:val="24"/>
        </w:rPr>
        <w:t>为本基金业绩比较基准同期年化收益率。</w:t>
      </w:r>
    </w:p>
    <w:p w14:paraId="6F45B3AD"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②特别的，当持有期限达到一年及以上，R＞</w:t>
      </w:r>
      <w:r>
        <w:rPr>
          <w:bCs/>
          <w:sz w:val="24"/>
        </w:rPr>
        <w:t>R</w:t>
      </w:r>
      <w:r>
        <w:rPr>
          <w:bCs/>
          <w:sz w:val="24"/>
          <w:vertAlign w:val="subscript"/>
        </w:rPr>
        <w:t>b</w:t>
      </w:r>
      <w:r>
        <w:rPr>
          <w:rFonts w:ascii="彩虹粗仿宋" w:eastAsia="彩虹粗仿宋" w:hAnsi="宋体" w:cs="Arial" w:hint="eastAsia"/>
          <w:sz w:val="24"/>
        </w:rPr>
        <w:t>+6%且R＞0的情形下，若拟扣除超额管理费后的年化收益率小于等于</w:t>
      </w:r>
      <w:r>
        <w:rPr>
          <w:bCs/>
          <w:sz w:val="24"/>
        </w:rPr>
        <w:t>R</w:t>
      </w:r>
      <w:r>
        <w:rPr>
          <w:bCs/>
          <w:sz w:val="24"/>
          <w:vertAlign w:val="subscript"/>
        </w:rPr>
        <w:t>b</w:t>
      </w:r>
      <w:r>
        <w:rPr>
          <w:rFonts w:ascii="彩虹粗仿宋" w:eastAsia="彩虹粗仿宋" w:hAnsi="宋体" w:cs="Arial" w:hint="eastAsia"/>
          <w:sz w:val="24"/>
        </w:rPr>
        <w:t>+6%，或小于等于0时，仍按1.20%年费率收取该笔基金份额的管理费，以使得该笔基金份额在扣除超额管理费后的年化收益率仍需满足本基金收取超额管理费的标准。</w:t>
      </w:r>
    </w:p>
    <w:p w14:paraId="600AE0CB"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具体而言，本基金的管理费包含固定管理费、或有管理费和超额管理费，按以下方式计算和确认。</w:t>
      </w:r>
    </w:p>
    <w:p w14:paraId="1C5EA9C9" w14:textId="29BE922C"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sz w:val="24"/>
        </w:rPr>
        <w:t>固定管理费</w:t>
      </w:r>
    </w:p>
    <w:p w14:paraId="76A435EB"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固定管理费按前一日基金资产净值的0.60%年费率每日计提。固定管理费的计算方法如下：</w:t>
      </w:r>
    </w:p>
    <w:p w14:paraId="14B57787"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H</w:t>
      </w:r>
      <w:r>
        <w:rPr>
          <w:rFonts w:hint="eastAsia"/>
          <w:bCs/>
          <w:sz w:val="24"/>
          <w:vertAlign w:val="subscript"/>
        </w:rPr>
        <w:t>1</w:t>
      </w:r>
      <w:r>
        <w:rPr>
          <w:rFonts w:ascii="彩虹粗仿宋" w:eastAsia="彩虹粗仿宋" w:hAnsi="宋体" w:cs="Arial" w:hint="eastAsia"/>
          <w:sz w:val="24"/>
        </w:rPr>
        <w:t>＝E×0.60%÷当年天数</w:t>
      </w:r>
    </w:p>
    <w:p w14:paraId="10B732F6"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H</w:t>
      </w:r>
      <w:r>
        <w:rPr>
          <w:rFonts w:hint="eastAsia"/>
          <w:bCs/>
          <w:sz w:val="24"/>
          <w:vertAlign w:val="subscript"/>
        </w:rPr>
        <w:t>1</w:t>
      </w:r>
      <w:r>
        <w:rPr>
          <w:rFonts w:ascii="彩虹粗仿宋" w:eastAsia="彩虹粗仿宋" w:hAnsi="宋体" w:cs="Arial" w:hint="eastAsia"/>
          <w:sz w:val="24"/>
        </w:rPr>
        <w:t>为每日应计提的固定管理费</w:t>
      </w:r>
    </w:p>
    <w:p w14:paraId="5F2AD4B1"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E为前一日的基金资产净值</w:t>
      </w:r>
    </w:p>
    <w:p w14:paraId="092E7587"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固定管理费每日计提，按月支付。由基金托管人根据与基金管理人核对一致的财务数据，自动在次月初5个工作日内、按照指定的账户路径进行资金支付，基金管理人无需再出具资金划拨指令。若遇法定节假日、休息日或不可抗力致使无法按时支付，顺延至最近可支付日支付。费用自动扣划后，基金管理人应进行核对，如发现数据不符，及时联系基金托管人协商解决。</w:t>
      </w:r>
    </w:p>
    <w:p w14:paraId="565F6CBF" w14:textId="0EFA5936"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2.或有管理费和超额管理费</w:t>
      </w:r>
    </w:p>
    <w:p w14:paraId="25DBB7C6"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或有管理费按前一日基金资产净值的0.60%年费率每日计提。或有管理费的计算方法如下：</w:t>
      </w:r>
    </w:p>
    <w:p w14:paraId="7925FF58"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H</w:t>
      </w:r>
      <w:r>
        <w:rPr>
          <w:rFonts w:hint="eastAsia"/>
          <w:bCs/>
          <w:sz w:val="24"/>
          <w:vertAlign w:val="subscript"/>
        </w:rPr>
        <w:t>2</w:t>
      </w:r>
      <w:r>
        <w:rPr>
          <w:rFonts w:ascii="彩虹粗仿宋" w:eastAsia="彩虹粗仿宋" w:hAnsi="宋体" w:cs="Arial" w:hint="eastAsia"/>
          <w:sz w:val="24"/>
        </w:rPr>
        <w:t>＝E×0.60%÷当年天数</w:t>
      </w:r>
    </w:p>
    <w:p w14:paraId="41C1B9B2"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H</w:t>
      </w:r>
      <w:r>
        <w:rPr>
          <w:rFonts w:hint="eastAsia"/>
          <w:bCs/>
          <w:sz w:val="24"/>
          <w:vertAlign w:val="subscript"/>
        </w:rPr>
        <w:t>2</w:t>
      </w:r>
      <w:r>
        <w:rPr>
          <w:rFonts w:ascii="彩虹粗仿宋" w:eastAsia="彩虹粗仿宋" w:hAnsi="宋体" w:cs="Arial" w:hint="eastAsia"/>
          <w:sz w:val="24"/>
        </w:rPr>
        <w:t>为每日应计提的或有管理费</w:t>
      </w:r>
    </w:p>
    <w:p w14:paraId="3FFDBCB4"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E为前一日的基金资产净值</w:t>
      </w:r>
    </w:p>
    <w:p w14:paraId="043D1378"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lastRenderedPageBreak/>
        <w:t>若该笔基金份额持有天数达到或超过365天的</w:t>
      </w:r>
      <w:r>
        <w:rPr>
          <w:rFonts w:ascii="彩虹粗仿宋" w:eastAsia="彩虹粗仿宋" w:hAnsi="宋体" w:cs="Arial"/>
          <w:sz w:val="24"/>
        </w:rPr>
        <w:t>：在</w:t>
      </w:r>
      <w:r>
        <w:rPr>
          <w:rFonts w:ascii="彩虹粗仿宋" w:eastAsia="彩虹粗仿宋" w:hAnsi="宋体" w:cs="Arial" w:hint="eastAsia"/>
          <w:sz w:val="24"/>
        </w:rPr>
        <w:t>该笔基金份额的持有收益率R符合下表“情形一”时，或有管理费为0，则该笔基金份额持有期内计提的或有管理费将全额返还至投资者的赎回款（或清算款）；</w:t>
      </w:r>
      <w:r>
        <w:rPr>
          <w:rFonts w:ascii="彩虹粗仿宋" w:eastAsia="彩虹粗仿宋" w:hAnsi="宋体" w:cs="Arial"/>
          <w:sz w:val="24"/>
        </w:rPr>
        <w:t>在</w:t>
      </w:r>
      <w:r>
        <w:rPr>
          <w:rFonts w:ascii="彩虹粗仿宋" w:eastAsia="彩虹粗仿宋" w:hAnsi="宋体" w:cs="Arial" w:hint="eastAsia"/>
          <w:sz w:val="24"/>
        </w:rPr>
        <w:t>该笔基金份额的持有收益率R符合下表“情形二”和“情形三”时，该笔基金份额持有期内计提的或有管理费应确认为应由基金管理人收取的管理费。</w:t>
      </w:r>
    </w:p>
    <w:p w14:paraId="3620A069"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本基金每日预估计算并记录每笔基金份额的超额管理费，基金超额管理费的预估计算方法如下：</w:t>
      </w:r>
    </w:p>
    <w:p w14:paraId="1CB6B05E" w14:textId="77777777" w:rsidR="00E77209" w:rsidRDefault="009B3274">
      <w:pPr>
        <w:adjustRightInd w:val="0"/>
        <w:snapToGrid w:val="0"/>
        <w:ind w:firstLineChars="200" w:firstLine="480"/>
        <w:outlineLvl w:val="0"/>
        <w:rPr>
          <w:rFonts w:ascii="彩虹粗仿宋" w:eastAsia="彩虹粗仿宋" w:hAnsi="宋体" w:cs="Arial"/>
          <w:sz w:val="24"/>
        </w:rPr>
      </w:pPr>
      <w:r>
        <w:rPr>
          <w:rFonts w:hint="eastAsia"/>
          <w:bCs/>
          <w:sz w:val="24"/>
        </w:rPr>
        <w:t>H</w:t>
      </w:r>
      <w:r>
        <w:rPr>
          <w:rFonts w:hint="eastAsia"/>
          <w:bCs/>
          <w:sz w:val="24"/>
          <w:vertAlign w:val="subscript"/>
        </w:rPr>
        <w:t>3</w:t>
      </w:r>
      <w:r>
        <w:rPr>
          <w:rFonts w:ascii="彩虹粗仿宋" w:eastAsia="彩虹粗仿宋" w:hAnsi="宋体" w:cs="Arial" w:hint="eastAsia"/>
          <w:sz w:val="24"/>
        </w:rPr>
        <w:t>＝E×0.30%÷当年天数</w:t>
      </w:r>
    </w:p>
    <w:p w14:paraId="2798BFEC" w14:textId="77777777" w:rsidR="00E77209" w:rsidRDefault="009B3274">
      <w:pPr>
        <w:adjustRightInd w:val="0"/>
        <w:snapToGrid w:val="0"/>
        <w:ind w:firstLineChars="200" w:firstLine="480"/>
        <w:outlineLvl w:val="0"/>
        <w:rPr>
          <w:rFonts w:ascii="彩虹粗仿宋" w:eastAsia="彩虹粗仿宋" w:hAnsi="宋体" w:cs="Arial"/>
          <w:sz w:val="24"/>
        </w:rPr>
      </w:pPr>
      <w:r>
        <w:rPr>
          <w:rFonts w:hint="eastAsia"/>
          <w:bCs/>
          <w:sz w:val="24"/>
        </w:rPr>
        <w:t>H</w:t>
      </w:r>
      <w:r>
        <w:rPr>
          <w:rFonts w:hint="eastAsia"/>
          <w:bCs/>
          <w:sz w:val="24"/>
          <w:vertAlign w:val="subscript"/>
        </w:rPr>
        <w:t>3</w:t>
      </w:r>
      <w:r>
        <w:rPr>
          <w:rFonts w:ascii="彩虹粗仿宋" w:eastAsia="彩虹粗仿宋" w:hAnsi="宋体" w:cs="Arial" w:hint="eastAsia"/>
          <w:sz w:val="24"/>
        </w:rPr>
        <w:t>为每日预估计算的基金超额管理费</w:t>
      </w:r>
    </w:p>
    <w:p w14:paraId="2A0775EF"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E为前一日的基金资产净值</w:t>
      </w:r>
    </w:p>
    <w:p w14:paraId="7B442A50"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每笔基金份额的超额管理费每日预估计算，但不从基金资产中实际计提，逐日累计。当且仅当该笔基金份额持有天数达到或超过365天，且该笔基金份额的年化收益率R符合下表“情形三”的收取情形时，将从该笔基金份额的赎回款（或清算款）中扣除0.30%年费率的超额管理费，并随已计提的或有管理费一同确认为应由基金管理人收取的管理费。</w:t>
      </w:r>
    </w:p>
    <w:p w14:paraId="01182CC3"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当投资者赎回、转出基金份额或基金合同终止清算时，本基金根据以下三种情形确认应实际收取的或有管理费和超额管理费：</w:t>
      </w:r>
    </w:p>
    <w:tbl>
      <w:tblPr>
        <w:tblW w:w="7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2933"/>
        <w:gridCol w:w="1701"/>
        <w:gridCol w:w="1701"/>
      </w:tblGrid>
      <w:tr w:rsidR="00E77209" w14:paraId="416ACD38" w14:textId="77777777">
        <w:trPr>
          <w:trHeight w:val="510"/>
          <w:jc w:val="center"/>
        </w:trPr>
        <w:tc>
          <w:tcPr>
            <w:tcW w:w="1247" w:type="dxa"/>
            <w:vAlign w:val="center"/>
          </w:tcPr>
          <w:p w14:paraId="1779E552" w14:textId="77777777" w:rsidR="00E77209" w:rsidRDefault="009B3274">
            <w:pPr>
              <w:adjustRightInd w:val="0"/>
              <w:snapToGrid w:val="0"/>
              <w:jc w:val="center"/>
              <w:rPr>
                <w:b/>
                <w:bCs/>
                <w:sz w:val="22"/>
              </w:rPr>
            </w:pPr>
            <w:r>
              <w:rPr>
                <w:b/>
                <w:bCs/>
                <w:sz w:val="22"/>
              </w:rPr>
              <w:t>收取情形</w:t>
            </w:r>
          </w:p>
        </w:tc>
        <w:tc>
          <w:tcPr>
            <w:tcW w:w="2933" w:type="dxa"/>
            <w:vAlign w:val="center"/>
          </w:tcPr>
          <w:p w14:paraId="3A5F4246" w14:textId="77777777" w:rsidR="00E77209" w:rsidRDefault="009B3274">
            <w:pPr>
              <w:adjustRightInd w:val="0"/>
              <w:snapToGrid w:val="0"/>
              <w:jc w:val="center"/>
              <w:rPr>
                <w:b/>
                <w:bCs/>
                <w:sz w:val="22"/>
              </w:rPr>
            </w:pPr>
            <w:r>
              <w:rPr>
                <w:b/>
                <w:bCs/>
                <w:sz w:val="22"/>
              </w:rPr>
              <w:t>年化收益率（</w:t>
            </w:r>
            <w:r>
              <w:rPr>
                <w:b/>
                <w:bCs/>
                <w:sz w:val="22"/>
              </w:rPr>
              <w:t>R</w:t>
            </w:r>
            <w:r>
              <w:rPr>
                <w:b/>
                <w:bCs/>
                <w:sz w:val="22"/>
              </w:rPr>
              <w:t>）</w:t>
            </w:r>
          </w:p>
        </w:tc>
        <w:tc>
          <w:tcPr>
            <w:tcW w:w="1701" w:type="dxa"/>
            <w:vAlign w:val="center"/>
          </w:tcPr>
          <w:p w14:paraId="737E4158" w14:textId="77777777" w:rsidR="00E77209" w:rsidRDefault="009B3274">
            <w:pPr>
              <w:adjustRightInd w:val="0"/>
              <w:snapToGrid w:val="0"/>
              <w:jc w:val="center"/>
              <w:rPr>
                <w:b/>
                <w:bCs/>
                <w:sz w:val="22"/>
              </w:rPr>
            </w:pPr>
            <w:r>
              <w:rPr>
                <w:b/>
                <w:bCs/>
                <w:sz w:val="22"/>
              </w:rPr>
              <w:t>或有管理费</w:t>
            </w:r>
          </w:p>
          <w:p w14:paraId="4D9DC142" w14:textId="77777777" w:rsidR="00E77209" w:rsidRDefault="009B3274">
            <w:pPr>
              <w:adjustRightInd w:val="0"/>
              <w:snapToGrid w:val="0"/>
              <w:jc w:val="center"/>
              <w:rPr>
                <w:b/>
                <w:bCs/>
                <w:sz w:val="22"/>
              </w:rPr>
            </w:pPr>
            <w:r>
              <w:rPr>
                <w:b/>
                <w:bCs/>
                <w:sz w:val="22"/>
              </w:rPr>
              <w:t>（年费率）</w:t>
            </w:r>
          </w:p>
        </w:tc>
        <w:tc>
          <w:tcPr>
            <w:tcW w:w="1701" w:type="dxa"/>
            <w:vAlign w:val="center"/>
          </w:tcPr>
          <w:p w14:paraId="380BD738" w14:textId="77777777" w:rsidR="00E77209" w:rsidRDefault="009B3274">
            <w:pPr>
              <w:adjustRightInd w:val="0"/>
              <w:snapToGrid w:val="0"/>
              <w:jc w:val="center"/>
              <w:rPr>
                <w:b/>
                <w:bCs/>
                <w:sz w:val="22"/>
              </w:rPr>
            </w:pPr>
            <w:r>
              <w:rPr>
                <w:b/>
                <w:bCs/>
                <w:sz w:val="22"/>
              </w:rPr>
              <w:t>超额管理费</w:t>
            </w:r>
          </w:p>
          <w:p w14:paraId="394C5BCE" w14:textId="77777777" w:rsidR="00E77209" w:rsidRDefault="009B3274">
            <w:pPr>
              <w:adjustRightInd w:val="0"/>
              <w:snapToGrid w:val="0"/>
              <w:jc w:val="center"/>
              <w:rPr>
                <w:b/>
                <w:bCs/>
                <w:sz w:val="22"/>
              </w:rPr>
            </w:pPr>
            <w:r>
              <w:rPr>
                <w:b/>
                <w:bCs/>
                <w:sz w:val="22"/>
              </w:rPr>
              <w:t>（年费率）</w:t>
            </w:r>
          </w:p>
        </w:tc>
      </w:tr>
      <w:tr w:rsidR="00E77209" w14:paraId="69FF333D" w14:textId="77777777">
        <w:trPr>
          <w:trHeight w:val="510"/>
          <w:jc w:val="center"/>
        </w:trPr>
        <w:tc>
          <w:tcPr>
            <w:tcW w:w="1247" w:type="dxa"/>
            <w:vAlign w:val="center"/>
          </w:tcPr>
          <w:p w14:paraId="394FBFF3" w14:textId="77777777" w:rsidR="00E77209" w:rsidRDefault="009B3274">
            <w:pPr>
              <w:adjustRightInd w:val="0"/>
              <w:snapToGrid w:val="0"/>
              <w:jc w:val="center"/>
              <w:rPr>
                <w:sz w:val="22"/>
              </w:rPr>
            </w:pPr>
            <w:r>
              <w:rPr>
                <w:bCs/>
                <w:sz w:val="22"/>
              </w:rPr>
              <w:t>情形</w:t>
            </w:r>
            <w:r>
              <w:rPr>
                <w:sz w:val="22"/>
              </w:rPr>
              <w:t>一</w:t>
            </w:r>
          </w:p>
        </w:tc>
        <w:tc>
          <w:tcPr>
            <w:tcW w:w="2933" w:type="dxa"/>
            <w:vAlign w:val="center"/>
          </w:tcPr>
          <w:p w14:paraId="4383A89D" w14:textId="77777777" w:rsidR="00E77209" w:rsidRDefault="009B3274">
            <w:pPr>
              <w:adjustRightInd w:val="0"/>
              <w:snapToGrid w:val="0"/>
              <w:jc w:val="center"/>
              <w:rPr>
                <w:rFonts w:eastAsia="仿宋"/>
                <w:i/>
                <w:sz w:val="22"/>
              </w:rPr>
            </w:pPr>
            <w:r>
              <w:rPr>
                <w:rFonts w:eastAsia="仿宋"/>
                <w:sz w:val="22"/>
              </w:rPr>
              <w:t>R≤R</w:t>
            </w:r>
            <w:r>
              <w:rPr>
                <w:rFonts w:eastAsia="仿宋"/>
                <w:sz w:val="22"/>
                <w:vertAlign w:val="subscript"/>
              </w:rPr>
              <w:t>b</w:t>
            </w:r>
            <w:r>
              <w:rPr>
                <w:rFonts w:eastAsia="仿宋"/>
                <w:sz w:val="22"/>
              </w:rPr>
              <w:t>-3%</w:t>
            </w:r>
          </w:p>
        </w:tc>
        <w:tc>
          <w:tcPr>
            <w:tcW w:w="1701" w:type="dxa"/>
            <w:vAlign w:val="center"/>
          </w:tcPr>
          <w:p w14:paraId="2CE878FC" w14:textId="77777777" w:rsidR="00E77209" w:rsidRDefault="009B3274">
            <w:pPr>
              <w:adjustRightInd w:val="0"/>
              <w:snapToGrid w:val="0"/>
              <w:jc w:val="center"/>
              <w:rPr>
                <w:rFonts w:ascii="彩虹粗仿宋" w:eastAsia="彩虹粗仿宋" w:hAnsi="宋体" w:cs="Arial"/>
                <w:szCs w:val="21"/>
              </w:rPr>
            </w:pPr>
            <w:r>
              <w:rPr>
                <w:rFonts w:ascii="彩虹粗仿宋" w:eastAsia="彩虹粗仿宋" w:hAnsi="宋体" w:cs="Arial"/>
                <w:szCs w:val="21"/>
              </w:rPr>
              <w:t>0</w:t>
            </w:r>
          </w:p>
        </w:tc>
        <w:tc>
          <w:tcPr>
            <w:tcW w:w="1701" w:type="dxa"/>
            <w:vAlign w:val="center"/>
          </w:tcPr>
          <w:p w14:paraId="6D762F3D" w14:textId="77777777" w:rsidR="00E77209" w:rsidRDefault="009B3274">
            <w:pPr>
              <w:adjustRightInd w:val="0"/>
              <w:snapToGrid w:val="0"/>
              <w:jc w:val="center"/>
              <w:rPr>
                <w:rFonts w:ascii="彩虹粗仿宋" w:eastAsia="彩虹粗仿宋" w:hAnsi="宋体" w:cs="Arial"/>
                <w:szCs w:val="21"/>
              </w:rPr>
            </w:pPr>
            <w:r>
              <w:rPr>
                <w:rFonts w:ascii="彩虹粗仿宋" w:eastAsia="彩虹粗仿宋" w:hAnsi="宋体" w:cs="Arial"/>
                <w:szCs w:val="21"/>
              </w:rPr>
              <w:t>0</w:t>
            </w:r>
          </w:p>
        </w:tc>
      </w:tr>
      <w:tr w:rsidR="00E77209" w14:paraId="7814F607" w14:textId="77777777">
        <w:trPr>
          <w:trHeight w:val="510"/>
          <w:jc w:val="center"/>
        </w:trPr>
        <w:tc>
          <w:tcPr>
            <w:tcW w:w="1247" w:type="dxa"/>
            <w:vAlign w:val="center"/>
          </w:tcPr>
          <w:p w14:paraId="7E5DA391" w14:textId="77777777" w:rsidR="00E77209" w:rsidRDefault="009B3274">
            <w:pPr>
              <w:adjustRightInd w:val="0"/>
              <w:snapToGrid w:val="0"/>
              <w:jc w:val="center"/>
              <w:rPr>
                <w:sz w:val="22"/>
              </w:rPr>
            </w:pPr>
            <w:r>
              <w:rPr>
                <w:bCs/>
                <w:sz w:val="22"/>
              </w:rPr>
              <w:t>情形</w:t>
            </w:r>
            <w:r>
              <w:rPr>
                <w:sz w:val="22"/>
              </w:rPr>
              <w:t>二</w:t>
            </w:r>
          </w:p>
        </w:tc>
        <w:tc>
          <w:tcPr>
            <w:tcW w:w="2933" w:type="dxa"/>
            <w:vAlign w:val="center"/>
          </w:tcPr>
          <w:p w14:paraId="6958EDE8" w14:textId="77777777" w:rsidR="00E77209" w:rsidRDefault="009B3274">
            <w:pPr>
              <w:adjustRightInd w:val="0"/>
              <w:snapToGrid w:val="0"/>
              <w:jc w:val="center"/>
              <w:rPr>
                <w:rFonts w:eastAsia="仿宋"/>
                <w:sz w:val="22"/>
              </w:rPr>
            </w:pPr>
            <w:r>
              <w:rPr>
                <w:bCs/>
                <w:sz w:val="22"/>
              </w:rPr>
              <w:t>其他情形</w:t>
            </w:r>
          </w:p>
        </w:tc>
        <w:tc>
          <w:tcPr>
            <w:tcW w:w="1701" w:type="dxa"/>
            <w:vAlign w:val="center"/>
          </w:tcPr>
          <w:p w14:paraId="13ABBD6B" w14:textId="77777777" w:rsidR="00E77209" w:rsidRDefault="009B3274">
            <w:pPr>
              <w:adjustRightInd w:val="0"/>
              <w:snapToGrid w:val="0"/>
              <w:jc w:val="center"/>
              <w:rPr>
                <w:rFonts w:ascii="彩虹粗仿宋" w:eastAsia="彩虹粗仿宋" w:hAnsi="宋体" w:cs="Arial"/>
                <w:szCs w:val="21"/>
              </w:rPr>
            </w:pPr>
            <w:r>
              <w:rPr>
                <w:rFonts w:ascii="彩虹粗仿宋" w:eastAsia="彩虹粗仿宋" w:hAnsi="宋体" w:cs="Arial"/>
                <w:szCs w:val="21"/>
              </w:rPr>
              <w:t>0.60%</w:t>
            </w:r>
          </w:p>
        </w:tc>
        <w:tc>
          <w:tcPr>
            <w:tcW w:w="1701" w:type="dxa"/>
            <w:vAlign w:val="center"/>
          </w:tcPr>
          <w:p w14:paraId="3E8E6712" w14:textId="77777777" w:rsidR="00E77209" w:rsidRDefault="009B3274">
            <w:pPr>
              <w:adjustRightInd w:val="0"/>
              <w:snapToGrid w:val="0"/>
              <w:jc w:val="center"/>
              <w:rPr>
                <w:rFonts w:ascii="彩虹粗仿宋" w:eastAsia="彩虹粗仿宋" w:hAnsi="宋体" w:cs="Arial"/>
                <w:szCs w:val="21"/>
              </w:rPr>
            </w:pPr>
            <w:r>
              <w:rPr>
                <w:rFonts w:ascii="彩虹粗仿宋" w:eastAsia="彩虹粗仿宋" w:hAnsi="宋体" w:cs="Arial"/>
                <w:szCs w:val="21"/>
              </w:rPr>
              <w:t>0</w:t>
            </w:r>
          </w:p>
        </w:tc>
      </w:tr>
      <w:tr w:rsidR="00E77209" w14:paraId="1C2D817E" w14:textId="77777777">
        <w:trPr>
          <w:trHeight w:val="510"/>
          <w:jc w:val="center"/>
        </w:trPr>
        <w:tc>
          <w:tcPr>
            <w:tcW w:w="1247" w:type="dxa"/>
            <w:vAlign w:val="center"/>
          </w:tcPr>
          <w:p w14:paraId="572F583D" w14:textId="77777777" w:rsidR="00E77209" w:rsidRDefault="009B3274">
            <w:pPr>
              <w:adjustRightInd w:val="0"/>
              <w:snapToGrid w:val="0"/>
              <w:jc w:val="center"/>
              <w:rPr>
                <w:sz w:val="22"/>
              </w:rPr>
            </w:pPr>
            <w:r>
              <w:rPr>
                <w:sz w:val="22"/>
              </w:rPr>
              <w:t>情形三</w:t>
            </w:r>
          </w:p>
        </w:tc>
        <w:tc>
          <w:tcPr>
            <w:tcW w:w="2933" w:type="dxa"/>
            <w:vAlign w:val="center"/>
          </w:tcPr>
          <w:p w14:paraId="4E58F300" w14:textId="77777777" w:rsidR="00E77209" w:rsidRDefault="009B3274">
            <w:pPr>
              <w:adjustRightInd w:val="0"/>
              <w:snapToGrid w:val="0"/>
              <w:jc w:val="center"/>
              <w:rPr>
                <w:rFonts w:eastAsia="仿宋"/>
                <w:b/>
                <w:bCs/>
                <w:sz w:val="22"/>
              </w:rPr>
            </w:pPr>
            <w:r>
              <w:rPr>
                <w:bCs/>
                <w:sz w:val="22"/>
              </w:rPr>
              <w:t>R</w:t>
            </w:r>
            <w:r>
              <w:rPr>
                <w:rFonts w:eastAsia="仿宋"/>
                <w:bCs/>
                <w:sz w:val="22"/>
              </w:rPr>
              <w:t>＞</w:t>
            </w:r>
            <w:r>
              <w:rPr>
                <w:bCs/>
                <w:sz w:val="22"/>
              </w:rPr>
              <w:t>R</w:t>
            </w:r>
            <w:r>
              <w:rPr>
                <w:spacing w:val="-2"/>
                <w:sz w:val="22"/>
                <w:vertAlign w:val="subscript"/>
              </w:rPr>
              <w:t>b</w:t>
            </w:r>
            <w:r>
              <w:rPr>
                <w:bCs/>
                <w:sz w:val="22"/>
              </w:rPr>
              <w:t>+6%</w:t>
            </w:r>
            <w:r>
              <w:rPr>
                <w:bCs/>
                <w:sz w:val="22"/>
              </w:rPr>
              <w:t>，</w:t>
            </w:r>
            <w:r>
              <w:rPr>
                <w:bCs/>
                <w:sz w:val="22"/>
              </w:rPr>
              <w:t>R</w:t>
            </w:r>
            <w:r>
              <w:rPr>
                <w:rFonts w:eastAsia="仿宋"/>
                <w:bCs/>
                <w:sz w:val="22"/>
              </w:rPr>
              <w:t>＞</w:t>
            </w:r>
            <w:r>
              <w:rPr>
                <w:bCs/>
                <w:sz w:val="22"/>
              </w:rPr>
              <w:t>0</w:t>
            </w:r>
          </w:p>
        </w:tc>
        <w:tc>
          <w:tcPr>
            <w:tcW w:w="1701" w:type="dxa"/>
            <w:vAlign w:val="center"/>
          </w:tcPr>
          <w:p w14:paraId="456F34D8" w14:textId="77777777" w:rsidR="00E77209" w:rsidRDefault="009B3274">
            <w:pPr>
              <w:adjustRightInd w:val="0"/>
              <w:snapToGrid w:val="0"/>
              <w:jc w:val="center"/>
              <w:rPr>
                <w:rFonts w:ascii="彩虹粗仿宋" w:eastAsia="彩虹粗仿宋" w:hAnsi="宋体" w:cs="Arial"/>
                <w:szCs w:val="21"/>
              </w:rPr>
            </w:pPr>
            <w:r>
              <w:rPr>
                <w:rFonts w:ascii="彩虹粗仿宋" w:eastAsia="彩虹粗仿宋" w:hAnsi="宋体" w:cs="Arial"/>
                <w:szCs w:val="21"/>
              </w:rPr>
              <w:t>0.60%</w:t>
            </w:r>
          </w:p>
        </w:tc>
        <w:tc>
          <w:tcPr>
            <w:tcW w:w="1701" w:type="dxa"/>
            <w:vAlign w:val="center"/>
          </w:tcPr>
          <w:p w14:paraId="564B273F" w14:textId="77777777" w:rsidR="00E77209" w:rsidRDefault="009B3274">
            <w:pPr>
              <w:adjustRightInd w:val="0"/>
              <w:snapToGrid w:val="0"/>
              <w:jc w:val="center"/>
              <w:rPr>
                <w:rFonts w:ascii="彩虹粗仿宋" w:eastAsia="彩虹粗仿宋" w:hAnsi="宋体" w:cs="Arial"/>
                <w:szCs w:val="21"/>
              </w:rPr>
            </w:pPr>
            <w:r>
              <w:rPr>
                <w:rFonts w:ascii="彩虹粗仿宋" w:eastAsia="彩虹粗仿宋" w:hAnsi="宋体" w:cs="Arial"/>
                <w:szCs w:val="21"/>
              </w:rPr>
              <w:t>0.30%</w:t>
            </w:r>
          </w:p>
        </w:tc>
      </w:tr>
    </w:tbl>
    <w:p w14:paraId="18CD7DF1"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对于“情形三”，若拟扣除超额管理费后的年化收益率小于等于</w:t>
      </w:r>
      <w:r>
        <w:rPr>
          <w:rFonts w:ascii="彩虹粗仿宋" w:eastAsia="彩虹粗仿宋" w:hAnsi="宋体" w:cs="Arial"/>
          <w:sz w:val="24"/>
        </w:rPr>
        <w:t>Rb+6%</w:t>
      </w:r>
      <w:r>
        <w:rPr>
          <w:rFonts w:ascii="彩虹粗仿宋" w:eastAsia="彩虹粗仿宋" w:hAnsi="宋体" w:cs="Arial" w:hint="eastAsia"/>
          <w:sz w:val="24"/>
        </w:rPr>
        <w:t>，或小于等于0时，仍按1.20%年费率收取该笔基金份额的管理费，以使得该笔基金份额在扣除超额管理费后的年化收益率仍需满足本基金收取超额管理费的标准。</w:t>
      </w:r>
    </w:p>
    <w:p w14:paraId="1E653EC0"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每笔基金份额的年化收益率（</w:t>
      </w:r>
      <w:r>
        <w:rPr>
          <w:rFonts w:ascii="彩虹粗仿宋" w:eastAsia="彩虹粗仿宋" w:hAnsi="宋体" w:cs="Arial"/>
          <w:sz w:val="24"/>
        </w:rPr>
        <w:t>R</w:t>
      </w:r>
      <w:r>
        <w:rPr>
          <w:rFonts w:ascii="彩虹粗仿宋" w:eastAsia="彩虹粗仿宋" w:hAnsi="宋体" w:cs="Arial" w:hint="eastAsia"/>
          <w:sz w:val="24"/>
        </w:rPr>
        <w:t>）计算方法如下：</w:t>
      </w:r>
    </w:p>
    <w:bookmarkStart w:id="94" w:name="_Hlk195865107"/>
    <w:p w14:paraId="2D250812" w14:textId="77777777" w:rsidR="00E77209" w:rsidRDefault="009B3274">
      <w:pPr>
        <w:spacing w:line="300" w:lineRule="auto"/>
        <w:jc w:val="center"/>
        <w:rPr>
          <w:rFonts w:ascii="仿宋" w:eastAsia="仿宋" w:hAnsi="仿宋" w:cs="Arial"/>
          <w:iCs/>
          <w:sz w:val="24"/>
        </w:rPr>
      </w:pPr>
      <w:r>
        <w:fldChar w:fldCharType="begin"/>
      </w:r>
      <w:r>
        <w:instrText xml:space="preserve"> QUOTE </w:instrText>
      </w:r>
      <m:oMath>
        <m:r>
          <m:rPr>
            <m:sty m:val="p"/>
          </m:rPr>
          <w:rPr>
            <w:rFonts w:ascii="Cambria Math" w:eastAsia="仿宋" w:hAnsi="Cambria Math" w:cs="TimesNewRomanPSMT"/>
            <w:sz w:val="24"/>
          </w:rPr>
          <m:t>R=</m:t>
        </m:r>
        <m:f>
          <m:fPr>
            <m:ctrlPr>
              <w:rPr>
                <w:rFonts w:ascii="Cambria Math" w:eastAsia="仿宋" w:hAnsi="Cambria Math" w:cs="TimesNewRomanPSMT"/>
                <w:sz w:val="24"/>
              </w:rPr>
            </m:ctrlPr>
          </m:fPr>
          <m:num>
            <m:r>
              <m:rPr>
                <m:sty m:val="p"/>
              </m:rPr>
              <w:rPr>
                <w:rFonts w:ascii="Cambria Math" w:eastAsia="仿宋" w:hAnsi="Cambria Math" w:cs="TimesNewRomanPSMT"/>
                <w:sz w:val="24"/>
              </w:rPr>
              <m:t>A-B</m:t>
            </m:r>
          </m:num>
          <m:den>
            <m:r>
              <m:rPr>
                <m:sty m:val="p"/>
              </m:rPr>
              <w:rPr>
                <w:rFonts w:ascii="Cambria Math" w:eastAsia="仿宋" w:hAnsi="Cambria Math" w:cs="TimesNewRomanPSMT"/>
                <w:sz w:val="24"/>
              </w:rPr>
              <m:t>C</m:t>
            </m:r>
          </m:den>
        </m:f>
        <m:r>
          <m:rPr>
            <m:sty m:val="p"/>
          </m:rPr>
          <w:rPr>
            <w:rFonts w:ascii="Cambria Math" w:eastAsia="仿宋" w:hAnsi="Cambria Math" w:cs="TimesNewRomanPSMT"/>
            <w:sz w:val="24"/>
          </w:rPr>
          <m:t>×</m:t>
        </m:r>
        <m:f>
          <m:fPr>
            <m:ctrlPr>
              <w:rPr>
                <w:rFonts w:ascii="Cambria Math" w:eastAsia="仿宋" w:hAnsi="Cambria Math" w:cs="TimesNewRomanPSMT"/>
                <w:i/>
                <w:sz w:val="24"/>
              </w:rPr>
            </m:ctrlPr>
          </m:fPr>
          <m:num>
            <m:r>
              <m:rPr>
                <m:sty m:val="p"/>
              </m:rPr>
              <w:rPr>
                <w:rFonts w:ascii="Cambria Math" w:eastAsia="仿宋" w:hAnsi="Cambria Math" w:cs="TimesNewRomanPSMT"/>
                <w:sz w:val="24"/>
              </w:rPr>
              <m:t>365</m:t>
            </m:r>
          </m:num>
          <m:den>
            <m:r>
              <m:rPr>
                <m:sty m:val="p"/>
              </m:rPr>
              <w:rPr>
                <w:rFonts w:ascii="Cambria Math" w:eastAsia="仿宋" w:hAnsi="Cambria Math" w:cs="TimesNewRomanPSMT"/>
                <w:sz w:val="24"/>
              </w:rPr>
              <m:t>D</m:t>
            </m:r>
          </m:den>
        </m:f>
        <m:r>
          <m:rPr>
            <m:sty m:val="p"/>
          </m:rPr>
          <w:rPr>
            <w:rFonts w:ascii="Cambria Math" w:eastAsia="仿宋" w:hAnsi="Cambria Math" w:cs="TimesNewRomanPSMT"/>
            <w:sz w:val="24"/>
          </w:rPr>
          <m:t>×100%</m:t>
        </m:r>
      </m:oMath>
      <w:r>
        <w:instrText xml:space="preserve"> </w:instrText>
      </w:r>
      <w:r>
        <w:fldChar w:fldCharType="end"/>
      </w:r>
      <m:oMath>
        <m:r>
          <m:rPr>
            <m:sty m:val="p"/>
          </m:rPr>
          <w:rPr>
            <w:rFonts w:ascii="Cambria Math" w:eastAsia="仿宋" w:hAnsi="Cambria Math" w:cs="TimesNewRomanPSMT"/>
            <w:sz w:val="24"/>
          </w:rPr>
          <m:t>R=</m:t>
        </m:r>
        <m:f>
          <m:fPr>
            <m:ctrlPr>
              <w:rPr>
                <w:rFonts w:ascii="Cambria Math" w:eastAsia="仿宋" w:hAnsi="Cambria Math" w:cs="TimesNewRomanPSMT"/>
                <w:sz w:val="24"/>
              </w:rPr>
            </m:ctrlPr>
          </m:fPr>
          <m:num>
            <m:r>
              <w:rPr>
                <w:rFonts w:ascii="Cambria Math" w:eastAsia="仿宋" w:hAnsi="Cambria Math" w:cs="TimesNewRomanPSMT"/>
                <w:sz w:val="24"/>
              </w:rPr>
              <m:t>A-B</m:t>
            </m:r>
          </m:num>
          <m:den>
            <m:r>
              <w:rPr>
                <w:rFonts w:ascii="Cambria Math" w:eastAsia="仿宋" w:hAnsi="Cambria Math" w:cs="TimesNewRomanPSMT"/>
                <w:sz w:val="24"/>
              </w:rPr>
              <m:t>C</m:t>
            </m:r>
          </m:den>
        </m:f>
        <m:r>
          <w:rPr>
            <w:rFonts w:ascii="Cambria Math" w:eastAsia="仿宋" w:hAnsi="Cambria Math" w:cs="TimesNewRomanPSMT"/>
            <w:sz w:val="24"/>
          </w:rPr>
          <m:t>×</m:t>
        </m:r>
        <m:f>
          <m:fPr>
            <m:ctrlPr>
              <w:rPr>
                <w:rFonts w:ascii="Cambria Math" w:eastAsia="仿宋" w:hAnsi="Cambria Math" w:cs="TimesNewRomanPSMT"/>
                <w:i/>
                <w:sz w:val="24"/>
              </w:rPr>
            </m:ctrlPr>
          </m:fPr>
          <m:num>
            <m:r>
              <w:rPr>
                <w:rFonts w:ascii="Cambria Math" w:eastAsia="仿宋" w:hAnsi="Cambria Math" w:cs="TimesNewRomanPSMT"/>
                <w:sz w:val="24"/>
              </w:rPr>
              <m:t>365</m:t>
            </m:r>
          </m:num>
          <m:den>
            <m:r>
              <w:rPr>
                <w:rFonts w:ascii="Cambria Math" w:eastAsia="仿宋" w:hAnsi="Cambria Math" w:cs="TimesNewRomanPSMT"/>
                <w:sz w:val="24"/>
              </w:rPr>
              <m:t>D</m:t>
            </m:r>
          </m:den>
        </m:f>
        <m:r>
          <w:rPr>
            <w:rFonts w:ascii="Cambria Math" w:eastAsia="仿宋" w:hAnsi="Cambria Math" w:cs="TimesNewRomanPSMT"/>
            <w:sz w:val="24"/>
          </w:rPr>
          <m:t>×100%</m:t>
        </m:r>
      </m:oMath>
    </w:p>
    <w:bookmarkEnd w:id="94"/>
    <w:p w14:paraId="242C583D" w14:textId="77777777" w:rsidR="00E77209" w:rsidRDefault="009B3274">
      <w:pPr>
        <w:spacing w:line="360" w:lineRule="auto"/>
        <w:ind w:firstLineChars="200" w:firstLine="480"/>
        <w:rPr>
          <w:rFonts w:ascii="彩虹粗仿宋" w:eastAsia="彩虹粗仿宋" w:hAnsi="宋体" w:cs="Arial"/>
          <w:sz w:val="24"/>
        </w:rPr>
      </w:pPr>
      <w:r>
        <w:rPr>
          <w:rFonts w:ascii="彩虹粗仿宋" w:eastAsia="彩虹粗仿宋" w:hAnsi="宋体" w:cs="Arial" w:hint="eastAsia"/>
          <w:sz w:val="24"/>
        </w:rPr>
        <w:t>拟扣除超额管理费后的年化收益率（R*）的计算方法如下：</w:t>
      </w:r>
    </w:p>
    <w:p w14:paraId="5441D10F" w14:textId="77777777" w:rsidR="00E77209" w:rsidRDefault="009B3274">
      <w:pPr>
        <w:spacing w:line="360" w:lineRule="auto"/>
        <w:jc w:val="center"/>
        <w:rPr>
          <w:bCs/>
          <w:sz w:val="24"/>
        </w:rPr>
      </w:pPr>
      <w:bookmarkStart w:id="95" w:name="_Hlk196342196"/>
      <m:oMathPara>
        <m:oMath>
          <m:r>
            <m:rPr>
              <m:sty m:val="p"/>
            </m:rPr>
            <w:rPr>
              <w:rFonts w:ascii="Cambria Math" w:hAnsi="Cambria Math"/>
              <w:sz w:val="24"/>
            </w:rPr>
            <m:t>R</m:t>
          </m:r>
          <m:r>
            <w:rPr>
              <w:rFonts w:ascii="Cambria Math" w:hAnsi="Cambria Math"/>
              <w:sz w:val="24"/>
            </w:rPr>
            <m:t>*=</m:t>
          </m:r>
          <m:f>
            <m:fPr>
              <m:ctrlPr>
                <w:rPr>
                  <w:rFonts w:ascii="Cambria Math" w:hAnsi="Cambria Math"/>
                  <w:bCs/>
                  <w:i/>
                  <w:sz w:val="24"/>
                </w:rPr>
              </m:ctrlPr>
            </m:fPr>
            <m:num>
              <m:r>
                <w:rPr>
                  <w:rFonts w:ascii="Cambria Math" w:hAnsi="Cambria Math"/>
                  <w:sz w:val="24"/>
                </w:rPr>
                <m:t>F×</m:t>
              </m:r>
              <m:d>
                <m:dPr>
                  <m:ctrlPr>
                    <w:rPr>
                      <w:rFonts w:ascii="Cambria Math" w:hAnsi="Cambria Math"/>
                      <w:bCs/>
                      <w:i/>
                      <w:sz w:val="24"/>
                    </w:rPr>
                  </m:ctrlPr>
                </m:dPr>
                <m:e>
                  <m:r>
                    <w:rPr>
                      <w:rFonts w:ascii="Cambria Math" w:hAnsi="Cambria Math"/>
                      <w:sz w:val="24"/>
                    </w:rPr>
                    <m:t>A-B</m:t>
                  </m:r>
                </m:e>
              </m:d>
              <m:r>
                <w:rPr>
                  <w:rFonts w:ascii="Cambria Math" w:hAnsi="Cambria Math"/>
                  <w:sz w:val="24"/>
                </w:rPr>
                <m:t>-</m:t>
              </m:r>
              <m:sSub>
                <m:sSubPr>
                  <m:ctrlPr>
                    <w:rPr>
                      <w:rFonts w:ascii="Cambria Math" w:hAnsi="Cambria Math"/>
                      <w:bCs/>
                      <w:i/>
                      <w:sz w:val="24"/>
                    </w:rPr>
                  </m:ctrlPr>
                </m:sSubPr>
                <m:e>
                  <m:r>
                    <w:rPr>
                      <w:rFonts w:ascii="Cambria Math" w:hAnsi="Cambria Math"/>
                      <w:sz w:val="24"/>
                    </w:rPr>
                    <m:t>M</m:t>
                  </m:r>
                </m:e>
                <m:sub>
                  <m:r>
                    <w:rPr>
                      <w:rFonts w:ascii="Cambria Math" w:hAnsi="Cambria Math"/>
                      <w:sz w:val="24"/>
                    </w:rPr>
                    <m:t>C</m:t>
                  </m:r>
                </m:sub>
              </m:sSub>
            </m:num>
            <m:den>
              <m:r>
                <w:rPr>
                  <w:rFonts w:ascii="Cambria Math" w:hAnsi="Cambria Math"/>
                  <w:sz w:val="24"/>
                </w:rPr>
                <m:t>F×C</m:t>
              </m:r>
            </m:den>
          </m:f>
          <m:r>
            <w:rPr>
              <w:rFonts w:ascii="Cambria Math" w:hAnsi="Cambria Math"/>
              <w:sz w:val="24"/>
            </w:rPr>
            <m:t>×</m:t>
          </m:r>
          <m:f>
            <m:fPr>
              <m:ctrlPr>
                <w:rPr>
                  <w:rFonts w:ascii="Cambria Math" w:hAnsi="Cambria Math"/>
                  <w:bCs/>
                  <w:i/>
                  <w:sz w:val="24"/>
                </w:rPr>
              </m:ctrlPr>
            </m:fPr>
            <m:num>
              <m:r>
                <w:rPr>
                  <w:rFonts w:ascii="Cambria Math" w:hAnsi="Cambria Math"/>
                  <w:sz w:val="24"/>
                </w:rPr>
                <m:t>365</m:t>
              </m:r>
            </m:num>
            <m:den>
              <m:r>
                <w:rPr>
                  <w:rFonts w:ascii="Cambria Math" w:hAnsi="Cambria Math"/>
                  <w:sz w:val="24"/>
                </w:rPr>
                <m:t>D</m:t>
              </m:r>
            </m:den>
          </m:f>
          <m:r>
            <w:rPr>
              <w:rFonts w:ascii="Cambria Math" w:eastAsia="仿宋" w:hAnsi="Cambria Math" w:cs="TimesNewRomanPSMT"/>
              <w:sz w:val="24"/>
            </w:rPr>
            <m:t>×100%</m:t>
          </m:r>
        </m:oMath>
      </m:oMathPara>
    </w:p>
    <w:bookmarkEnd w:id="95"/>
    <w:p w14:paraId="0CBD9CB5"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sz w:val="24"/>
        </w:rPr>
        <w:t>R</w:t>
      </w:r>
      <w:r>
        <w:rPr>
          <w:rFonts w:ascii="彩虹粗仿宋" w:eastAsia="彩虹粗仿宋" w:hAnsi="宋体" w:cs="Arial" w:hint="eastAsia"/>
          <w:sz w:val="24"/>
        </w:rPr>
        <w:t>为该笔基金份额的年化收益率；</w:t>
      </w:r>
      <w:proofErr w:type="spellStart"/>
      <w:r>
        <w:rPr>
          <w:rFonts w:ascii="彩虹粗仿宋" w:eastAsia="彩虹粗仿宋" w:hAnsi="宋体" w:cs="Arial"/>
          <w:sz w:val="24"/>
        </w:rPr>
        <w:t>Rb</w:t>
      </w:r>
      <w:proofErr w:type="spellEnd"/>
      <w:r>
        <w:rPr>
          <w:rFonts w:ascii="彩虹粗仿宋" w:eastAsia="彩虹粗仿宋" w:hAnsi="宋体" w:cs="Arial" w:hint="eastAsia"/>
          <w:sz w:val="24"/>
        </w:rPr>
        <w:t>为本基金业绩比较基准同期年化收益率；</w:t>
      </w:r>
    </w:p>
    <w:p w14:paraId="613182F9"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sz w:val="24"/>
        </w:rPr>
        <w:t>A为该笔</w:t>
      </w:r>
      <w:r>
        <w:rPr>
          <w:rFonts w:ascii="彩虹粗仿宋" w:eastAsia="彩虹粗仿宋" w:hAnsi="宋体" w:cs="Arial" w:hint="eastAsia"/>
          <w:sz w:val="24"/>
        </w:rPr>
        <w:t>基金</w:t>
      </w:r>
      <w:r>
        <w:rPr>
          <w:rFonts w:ascii="彩虹粗仿宋" w:eastAsia="彩虹粗仿宋" w:hAnsi="宋体" w:cs="Arial"/>
          <w:sz w:val="24"/>
        </w:rPr>
        <w:t>份额</w:t>
      </w:r>
      <w:r>
        <w:rPr>
          <w:rFonts w:ascii="彩虹粗仿宋" w:eastAsia="彩虹粗仿宋" w:hAnsi="宋体" w:cs="Arial" w:hint="eastAsia"/>
          <w:sz w:val="24"/>
        </w:rPr>
        <w:t>在基金份额持有人赎回或转换转出基金份额申请日，或基金最后运作日</w:t>
      </w:r>
      <w:r>
        <w:rPr>
          <w:rFonts w:ascii="彩虹粗仿宋" w:eastAsia="彩虹粗仿宋" w:hAnsi="宋体" w:cs="Arial"/>
          <w:sz w:val="24"/>
        </w:rPr>
        <w:t>的基金份额累计净值；</w:t>
      </w:r>
    </w:p>
    <w:p w14:paraId="437A85A4"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sz w:val="24"/>
        </w:rPr>
        <w:t>B为该笔</w:t>
      </w:r>
      <w:r>
        <w:rPr>
          <w:rFonts w:ascii="彩虹粗仿宋" w:eastAsia="彩虹粗仿宋" w:hAnsi="宋体" w:cs="Arial" w:hint="eastAsia"/>
          <w:sz w:val="24"/>
        </w:rPr>
        <w:t>基金</w:t>
      </w:r>
      <w:r>
        <w:rPr>
          <w:rFonts w:ascii="彩虹粗仿宋" w:eastAsia="彩虹粗仿宋" w:hAnsi="宋体" w:cs="Arial"/>
          <w:sz w:val="24"/>
        </w:rPr>
        <w:t>份额</w:t>
      </w:r>
      <w:r>
        <w:rPr>
          <w:rFonts w:ascii="彩虹粗仿宋" w:eastAsia="彩虹粗仿宋" w:hAnsi="宋体" w:cs="Arial" w:hint="eastAsia"/>
          <w:sz w:val="24"/>
        </w:rPr>
        <w:t>在申购或转换转入基金份额申请日的</w:t>
      </w:r>
      <w:r>
        <w:rPr>
          <w:rFonts w:ascii="彩虹粗仿宋" w:eastAsia="彩虹粗仿宋" w:hAnsi="宋体" w:cs="Arial"/>
          <w:sz w:val="24"/>
        </w:rPr>
        <w:t>基金份额累计净值</w:t>
      </w:r>
      <w:r>
        <w:rPr>
          <w:rFonts w:ascii="彩虹粗仿宋" w:eastAsia="彩虹粗仿宋" w:hAnsi="宋体" w:cs="Arial" w:hint="eastAsia"/>
          <w:sz w:val="24"/>
        </w:rPr>
        <w:t>，对于认购获得的基金份额，B为1</w:t>
      </w:r>
      <w:r>
        <w:rPr>
          <w:rFonts w:ascii="彩虹粗仿宋" w:eastAsia="彩虹粗仿宋" w:hAnsi="宋体" w:cs="Arial"/>
          <w:sz w:val="24"/>
        </w:rPr>
        <w:t>.00元；</w:t>
      </w:r>
    </w:p>
    <w:p w14:paraId="4E65AFBB"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C为该笔基金份额在申购或转换转入基金份额申请日的基金份额净值，对于认购获得的基金份额，C为1</w:t>
      </w:r>
      <w:r>
        <w:rPr>
          <w:rFonts w:ascii="彩虹粗仿宋" w:eastAsia="彩虹粗仿宋" w:hAnsi="宋体" w:cs="Arial"/>
          <w:sz w:val="24"/>
        </w:rPr>
        <w:t>.00元；</w:t>
      </w:r>
    </w:p>
    <w:p w14:paraId="2E1379E4"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sz w:val="24"/>
        </w:rPr>
        <w:t>D为基金合同生效日（针对募集期内认购的基金份额）或该笔份额申购/转换转入确认日（含该日）至赎回/转换转出确认日（不含该日）或基金最后运作日下一交易日（不含该日）间的天数；</w:t>
      </w:r>
    </w:p>
    <w:p w14:paraId="3C37FB51"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F为该笔基金份额的份额数；</w:t>
      </w:r>
    </w:p>
    <w:p w14:paraId="4AB123F3"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Cambria Math" w:eastAsia="彩虹粗仿宋" w:hAnsi="Cambria Math" w:cs="Cambria Math"/>
          <w:sz w:val="24"/>
        </w:rPr>
        <w:lastRenderedPageBreak/>
        <w:t>𝑀𝑐</w:t>
      </w:r>
      <w:r>
        <w:rPr>
          <w:rFonts w:ascii="彩虹粗仿宋" w:eastAsia="彩虹粗仿宋" w:hAnsi="宋体" w:cs="Arial" w:hint="eastAsia"/>
          <w:sz w:val="24"/>
        </w:rPr>
        <w:t>为该笔基金份额持有期内累计计算的超额管理费。</w:t>
      </w:r>
    </w:p>
    <w:p w14:paraId="08BCECBC" w14:textId="0444730F" w:rsidR="00E77209" w:rsidRDefault="009B3274">
      <w:pPr>
        <w:spacing w:line="360" w:lineRule="auto"/>
        <w:ind w:firstLineChars="200" w:firstLine="480"/>
        <w:rPr>
          <w:rFonts w:ascii="彩虹粗仿宋" w:eastAsia="彩虹粗仿宋" w:hAnsi="宋体" w:cs="Arial"/>
          <w:sz w:val="24"/>
        </w:rPr>
      </w:pPr>
      <w:r>
        <w:rPr>
          <w:rFonts w:ascii="彩虹粗仿宋" w:eastAsia="彩虹粗仿宋" w:hAnsi="宋体" w:cs="Arial" w:hint="eastAsia"/>
          <w:sz w:val="24"/>
        </w:rPr>
        <w:t>对于已经确认为基金管理人收入的或有管理费逐日累计至每月月末，按月支付。自动在次月初</w:t>
      </w:r>
      <w:r>
        <w:rPr>
          <w:rFonts w:ascii="彩虹粗仿宋" w:eastAsia="彩虹粗仿宋" w:hAnsi="宋体" w:cs="Arial"/>
          <w:sz w:val="24"/>
        </w:rPr>
        <w:t>5</w:t>
      </w:r>
      <w:r>
        <w:rPr>
          <w:rFonts w:ascii="彩虹粗仿宋" w:eastAsia="彩虹粗仿宋" w:hAnsi="宋体" w:cs="Arial" w:hint="eastAsia"/>
          <w:sz w:val="24"/>
        </w:rPr>
        <w:t>个工作日内、按照指定的账户路径进行资金支付，基金管理人无需再出具资金划拨指令。若遇法定节假日、休息日或不可抗力致使无法按时支付的，支付日期顺延。对于确认为基金管理人收入的超额管理费，基金托管人将按照与基金管理人双方协商一致的方式，根据基金管理人指令将该笔基金份额持有期内的超额管理费支付给基金管理人。若遇法定节假日、休息日或不可抗力致使无法按时支付的，顺延至最近可支付日支付。费用自动扣划后，基金管理人应进行核对，如发现数据不符，及时联系基金托管人协商解决。因涉及相关数据，或有管理费及超额管理费的计算和复核工作由基金管理人完成，相关信息以注册登记机构计算结果为准，基金托管人不承担复核责任。</w:t>
      </w:r>
    </w:p>
    <w:p w14:paraId="742D726B" w14:textId="50FEC10B"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3.在不违反法律法规、基金合同的约定的情况下，基金管理人可根据基金实际运作情况和市场环境变化，经履行适当程序后，对本基金的管理费（含固定管理费、或有管理费和超额管理费）计提标准或收取方式进行调整。</w:t>
      </w:r>
    </w:p>
    <w:p w14:paraId="0E8B6C42"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因法律法规或相关政策调整而需要修订管理费相关基准比例的，无需召开基金份额持有人大会。</w:t>
      </w:r>
    </w:p>
    <w:p w14:paraId="15C4DD59" w14:textId="58409E7B"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4.</w:t>
      </w:r>
      <w:r>
        <w:rPr>
          <w:rFonts w:ascii="彩虹粗仿宋" w:eastAsia="彩虹粗仿宋" w:hAnsi="宋体" w:cs="Arial"/>
          <w:sz w:val="24"/>
        </w:rPr>
        <w:t>本基金实施侧袋机制的，上述有关约定仅适用于主袋账户。</w:t>
      </w:r>
    </w:p>
    <w:p w14:paraId="3C6C49BE"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（二）基金托管费的计提比例和计提方法</w:t>
      </w:r>
    </w:p>
    <w:p w14:paraId="2155D086"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本基金的托管费按前一日</w:t>
      </w:r>
      <w:r>
        <w:rPr>
          <w:rFonts w:ascii="彩虹粗仿宋" w:eastAsia="彩虹粗仿宋" w:hAnsi="宋体" w:cs="Arial"/>
          <w:sz w:val="24"/>
        </w:rPr>
        <w:t>的</w:t>
      </w:r>
      <w:r>
        <w:rPr>
          <w:rFonts w:ascii="彩虹粗仿宋" w:eastAsia="彩虹粗仿宋" w:hAnsi="宋体" w:cs="Arial" w:hint="eastAsia"/>
          <w:sz w:val="24"/>
        </w:rPr>
        <w:t>基金资产净值的</w:t>
      </w:r>
      <w:r>
        <w:rPr>
          <w:rFonts w:ascii="彩虹粗仿宋" w:eastAsia="彩虹粗仿宋" w:hAnsi="宋体" w:cs="Arial"/>
          <w:sz w:val="24"/>
        </w:rPr>
        <w:t>0.20%</w:t>
      </w:r>
      <w:r>
        <w:rPr>
          <w:rFonts w:ascii="彩虹粗仿宋" w:eastAsia="彩虹粗仿宋" w:hAnsi="宋体" w:cs="Arial" w:hint="eastAsia"/>
          <w:sz w:val="24"/>
        </w:rPr>
        <w:t>年费率计提。托管费的计算方法如下：</w:t>
      </w:r>
    </w:p>
    <w:p w14:paraId="742D57A1"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sz w:val="24"/>
        </w:rPr>
        <w:t>H</w:t>
      </w:r>
      <w:r>
        <w:rPr>
          <w:rFonts w:ascii="彩虹粗仿宋" w:eastAsia="彩虹粗仿宋" w:hAnsi="宋体" w:cs="Arial" w:hint="eastAsia"/>
          <w:sz w:val="24"/>
        </w:rPr>
        <w:t>＝</w:t>
      </w:r>
      <w:r>
        <w:rPr>
          <w:rFonts w:ascii="彩虹粗仿宋" w:eastAsia="彩虹粗仿宋" w:hAnsi="宋体" w:cs="Arial"/>
          <w:sz w:val="24"/>
        </w:rPr>
        <w:t>E</w:t>
      </w:r>
      <w:r>
        <w:rPr>
          <w:rFonts w:ascii="彩虹粗仿宋" w:eastAsia="彩虹粗仿宋" w:hAnsi="宋体" w:cs="Arial"/>
          <w:sz w:val="24"/>
        </w:rPr>
        <w:t>×</w:t>
      </w:r>
      <w:r>
        <w:rPr>
          <w:rFonts w:ascii="彩虹粗仿宋" w:eastAsia="彩虹粗仿宋" w:hAnsi="宋体" w:cs="Arial"/>
          <w:sz w:val="24"/>
        </w:rPr>
        <w:t>0.20%</w:t>
      </w:r>
      <w:r>
        <w:rPr>
          <w:rFonts w:ascii="彩虹粗仿宋" w:eastAsia="彩虹粗仿宋" w:hAnsi="宋体" w:cs="Arial"/>
          <w:sz w:val="24"/>
        </w:rPr>
        <w:t>÷</w:t>
      </w:r>
      <w:r>
        <w:rPr>
          <w:rFonts w:ascii="彩虹粗仿宋" w:eastAsia="彩虹粗仿宋" w:hAnsi="宋体" w:cs="Arial" w:hint="eastAsia"/>
          <w:sz w:val="24"/>
        </w:rPr>
        <w:t>当年天数</w:t>
      </w:r>
    </w:p>
    <w:p w14:paraId="0A87A91D"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sz w:val="24"/>
        </w:rPr>
        <w:t>H</w:t>
      </w:r>
      <w:r>
        <w:rPr>
          <w:rFonts w:ascii="彩虹粗仿宋" w:eastAsia="彩虹粗仿宋" w:hAnsi="宋体" w:cs="Arial" w:hint="eastAsia"/>
          <w:sz w:val="24"/>
        </w:rPr>
        <w:t>为每日应计提的基金托管费</w:t>
      </w:r>
    </w:p>
    <w:p w14:paraId="116F6720"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sz w:val="24"/>
        </w:rPr>
        <w:t>E</w:t>
      </w:r>
      <w:r>
        <w:rPr>
          <w:rFonts w:ascii="彩虹粗仿宋" w:eastAsia="彩虹粗仿宋" w:hAnsi="宋体" w:cs="Arial" w:hint="eastAsia"/>
          <w:sz w:val="24"/>
        </w:rPr>
        <w:t>为前一日</w:t>
      </w:r>
      <w:r>
        <w:rPr>
          <w:rFonts w:ascii="彩虹粗仿宋" w:eastAsia="彩虹粗仿宋" w:hAnsi="宋体" w:cs="Arial"/>
          <w:sz w:val="24"/>
        </w:rPr>
        <w:t>的</w:t>
      </w:r>
      <w:r>
        <w:rPr>
          <w:rFonts w:ascii="彩虹粗仿宋" w:eastAsia="彩虹粗仿宋" w:hAnsi="宋体" w:cs="Arial" w:hint="eastAsia"/>
          <w:sz w:val="24"/>
        </w:rPr>
        <w:t>基金资产净值</w:t>
      </w:r>
    </w:p>
    <w:p w14:paraId="79D3E2D4"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基金托管费</w:t>
      </w:r>
      <w:r>
        <w:rPr>
          <w:rFonts w:ascii="彩虹粗仿宋" w:eastAsia="彩虹粗仿宋" w:hAnsi="宋体" w:cs="Arial"/>
          <w:sz w:val="24"/>
        </w:rPr>
        <w:t>每日计提，按月支付。由基金托管人根据与基金管理人核对一致的财务数据，自动在次月初5个工作日内、按照指定的账户路径进行资金支付，基金管理人无需再出具资金划拨指令。若遇法定节假日、休息日或不可抗力致使无法按时支付，顺延至最近可支付日支付。费用自动扣划后，基金管理人应进行核对，如发现数据不符，及时联系基金托管人协商解决。</w:t>
      </w:r>
    </w:p>
    <w:p w14:paraId="50B1E5A9"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（三）基金销售服务费的计提比例和计提方法</w:t>
      </w:r>
    </w:p>
    <w:p w14:paraId="53C46DF8"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本基金A类基金份额不收取销售服务费，C类基金份额的销售服务费年费率为</w:t>
      </w:r>
      <w:r>
        <w:rPr>
          <w:rFonts w:ascii="彩虹粗仿宋" w:eastAsia="彩虹粗仿宋" w:hAnsi="宋体" w:cs="Arial"/>
          <w:sz w:val="24"/>
        </w:rPr>
        <w:t>0.40%</w:t>
      </w:r>
      <w:r>
        <w:rPr>
          <w:rFonts w:ascii="彩虹粗仿宋" w:eastAsia="彩虹粗仿宋" w:hAnsi="宋体" w:cs="Arial" w:hint="eastAsia"/>
          <w:sz w:val="24"/>
        </w:rPr>
        <w:t>，按C类基金份额前一日</w:t>
      </w:r>
      <w:r>
        <w:rPr>
          <w:rFonts w:ascii="彩虹粗仿宋" w:eastAsia="彩虹粗仿宋" w:hAnsi="宋体" w:cs="Arial"/>
          <w:sz w:val="24"/>
        </w:rPr>
        <w:t>的</w:t>
      </w:r>
      <w:r>
        <w:rPr>
          <w:rFonts w:ascii="彩虹粗仿宋" w:eastAsia="彩虹粗仿宋" w:hAnsi="宋体" w:cs="Arial" w:hint="eastAsia"/>
          <w:sz w:val="24"/>
        </w:rPr>
        <w:t>基金资产净值的</w:t>
      </w:r>
      <w:r>
        <w:rPr>
          <w:rFonts w:ascii="彩虹粗仿宋" w:eastAsia="彩虹粗仿宋" w:hAnsi="宋体" w:cs="Arial"/>
          <w:sz w:val="24"/>
        </w:rPr>
        <w:t>0.40%</w:t>
      </w:r>
      <w:r>
        <w:rPr>
          <w:rFonts w:ascii="彩虹粗仿宋" w:eastAsia="彩虹粗仿宋" w:hAnsi="宋体" w:cs="Arial" w:hint="eastAsia"/>
          <w:sz w:val="24"/>
        </w:rPr>
        <w:t>年费率计提。</w:t>
      </w:r>
    </w:p>
    <w:p w14:paraId="31BB9A50"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销售服务费的计算方法如下：</w:t>
      </w:r>
    </w:p>
    <w:p w14:paraId="051BB307"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H＝E×</w:t>
      </w:r>
      <w:r>
        <w:rPr>
          <w:rFonts w:ascii="彩虹粗仿宋" w:eastAsia="彩虹粗仿宋" w:hAnsi="宋体" w:cs="Arial"/>
          <w:sz w:val="24"/>
        </w:rPr>
        <w:t>0.40%</w:t>
      </w:r>
      <w:r>
        <w:rPr>
          <w:rFonts w:ascii="彩虹粗仿宋" w:eastAsia="彩虹粗仿宋" w:hAnsi="宋体" w:cs="Arial" w:hint="eastAsia"/>
          <w:sz w:val="24"/>
        </w:rPr>
        <w:t>÷当年天数</w:t>
      </w:r>
    </w:p>
    <w:p w14:paraId="12AFBD5B"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H为C类基金份额每日应计提的销售服务费</w:t>
      </w:r>
    </w:p>
    <w:p w14:paraId="7B000D2B"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E为C类基金份额前一日</w:t>
      </w:r>
      <w:r>
        <w:rPr>
          <w:rFonts w:ascii="彩虹粗仿宋" w:eastAsia="彩虹粗仿宋" w:hAnsi="宋体" w:cs="Arial"/>
          <w:sz w:val="24"/>
        </w:rPr>
        <w:t>的</w:t>
      </w:r>
      <w:r>
        <w:rPr>
          <w:rFonts w:ascii="彩虹粗仿宋" w:eastAsia="彩虹粗仿宋" w:hAnsi="宋体" w:cs="Arial" w:hint="eastAsia"/>
          <w:sz w:val="24"/>
        </w:rPr>
        <w:t>基金资产净值</w:t>
      </w:r>
    </w:p>
    <w:p w14:paraId="4C0624E7"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基金销售服务费每日计提</w:t>
      </w:r>
      <w:r>
        <w:rPr>
          <w:rFonts w:ascii="彩虹粗仿宋" w:eastAsia="彩虹粗仿宋" w:hAnsi="宋体" w:cs="Arial"/>
          <w:sz w:val="24"/>
        </w:rPr>
        <w:t>，具体收取/返还方式如下：</w:t>
      </w:r>
    </w:p>
    <w:p w14:paraId="22C29C8B" w14:textId="0010C87F"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sz w:val="24"/>
        </w:rPr>
        <w:t>.直销机构</w:t>
      </w:r>
    </w:p>
    <w:p w14:paraId="1EFC462F" w14:textId="53C0F58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sz w:val="24"/>
        </w:rPr>
        <w:t>对于C类基金份额计提的销售服务费</w:t>
      </w:r>
      <w:r>
        <w:rPr>
          <w:rFonts w:ascii="彩虹粗仿宋" w:eastAsia="彩虹粗仿宋" w:hAnsi="宋体" w:cs="Arial" w:hint="eastAsia"/>
          <w:sz w:val="24"/>
        </w:rPr>
        <w:t>，</w:t>
      </w:r>
      <w:r>
        <w:rPr>
          <w:rFonts w:ascii="彩虹粗仿宋" w:eastAsia="彩虹粗仿宋" w:hAnsi="宋体" w:cs="Arial"/>
          <w:sz w:val="24"/>
        </w:rPr>
        <w:t>将在投资者赎回、转换转出</w:t>
      </w:r>
      <w:r>
        <w:rPr>
          <w:rFonts w:ascii="彩虹粗仿宋" w:eastAsia="彩虹粗仿宋" w:hAnsi="宋体" w:cs="Arial" w:hint="eastAsia"/>
          <w:sz w:val="24"/>
        </w:rPr>
        <w:t>相应</w:t>
      </w:r>
      <w:r>
        <w:rPr>
          <w:rFonts w:ascii="彩虹粗仿宋" w:eastAsia="彩虹粗仿宋" w:hAnsi="宋体" w:cs="Arial"/>
          <w:sz w:val="24"/>
        </w:rPr>
        <w:t>基金份额或基金合同终止时随赎回款或转出款或清算款一并返还给投资者。</w:t>
      </w:r>
    </w:p>
    <w:p w14:paraId="4F1D29B4" w14:textId="6291E501"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lastRenderedPageBreak/>
        <w:t>2.代销机构</w:t>
      </w:r>
    </w:p>
    <w:p w14:paraId="2CD5B3CF" w14:textId="42C00ED1"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（1）</w:t>
      </w:r>
      <w:r>
        <w:rPr>
          <w:rFonts w:ascii="彩虹粗仿宋" w:eastAsia="彩虹粗仿宋" w:hAnsi="宋体" w:cs="Arial"/>
          <w:sz w:val="24"/>
        </w:rPr>
        <w:t>对于投资者持续持有期限未超过一年</w:t>
      </w:r>
      <w:r>
        <w:rPr>
          <w:rFonts w:ascii="彩虹粗仿宋" w:eastAsia="彩虹粗仿宋" w:hAnsi="宋体" w:cs="Arial" w:hint="eastAsia"/>
          <w:sz w:val="24"/>
        </w:rPr>
        <w:t>（即</w:t>
      </w:r>
      <w:r>
        <w:rPr>
          <w:rFonts w:ascii="彩虹粗仿宋" w:eastAsia="彩虹粗仿宋" w:hAnsi="宋体" w:cs="Arial"/>
          <w:sz w:val="24"/>
        </w:rPr>
        <w:t>365</w:t>
      </w:r>
      <w:r>
        <w:rPr>
          <w:rFonts w:ascii="彩虹粗仿宋" w:eastAsia="彩虹粗仿宋" w:hAnsi="宋体" w:cs="Arial" w:hint="eastAsia"/>
          <w:sz w:val="24"/>
        </w:rPr>
        <w:t>天，下同）</w:t>
      </w:r>
      <w:r>
        <w:rPr>
          <w:rFonts w:ascii="彩虹粗仿宋" w:eastAsia="彩虹粗仿宋" w:hAnsi="宋体" w:cs="Arial"/>
          <w:sz w:val="24"/>
        </w:rPr>
        <w:t>的C类基金份额，计提的销售服务费逐日累计至每月月末，按月支付，自动在次月月初5个工作日内、按照指定的账户路径进行资金支付，基金管理人无需再出具资金划拨指令。若遇法定节假日、休息日或不可抗力致使无法按时支付，</w:t>
      </w:r>
      <w:r>
        <w:rPr>
          <w:rFonts w:ascii="彩虹粗仿宋" w:eastAsia="彩虹粗仿宋" w:hAnsi="宋体" w:cs="Arial" w:hint="eastAsia"/>
          <w:sz w:val="24"/>
        </w:rPr>
        <w:t>顺延至最近可支付日支付</w:t>
      </w:r>
      <w:r>
        <w:rPr>
          <w:rFonts w:ascii="彩虹粗仿宋" w:eastAsia="彩虹粗仿宋" w:hAnsi="宋体" w:cs="Arial"/>
          <w:sz w:val="24"/>
        </w:rPr>
        <w:t>。费用自动扣划后，基金管理人应进行核对，如发现数据不符，及时联系基金托管人协商解决。</w:t>
      </w:r>
    </w:p>
    <w:p w14:paraId="085270CB" w14:textId="7622D40B"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（2）</w:t>
      </w:r>
      <w:r>
        <w:rPr>
          <w:rFonts w:ascii="彩虹粗仿宋" w:eastAsia="彩虹粗仿宋" w:hAnsi="宋体" w:cs="Arial"/>
          <w:sz w:val="24"/>
        </w:rPr>
        <w:t>对于投资者持续持有期限超过一年的C类基金份额，超过一年后继续计提的销售服务费将在投资者赎回、转换转出相应基金份额或基金合同终止时随赎回款或转出款或清算款一并返还给投资者。</w:t>
      </w:r>
    </w:p>
    <w:p w14:paraId="5DBDD118"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因涉及相关数据，应付销售服务费的计算和复核工作由基金管理人完成，相关信息以注册登记机构计算结果为准，基金托管人不承担复核责任。</w:t>
      </w:r>
    </w:p>
    <w:p w14:paraId="3F35A4C8"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四）基金的账户开户费用，账户维护费用、基金的证券、期货等交易费用、因投资港股通标的股票而产生的各项合理费用、基金的银行汇划费用、《基金合同》生效后的信息披露费用（但法律法规、中国证监会另有规定的除外）、基金份额持有人大会费用、《基金合同》生效后与基金有关的会计师费、律师费、公证费、仲裁费和诉讼费等根据有关法律法规、《基金合同》及相应协议的规定，列入当期基金费用。</w:t>
      </w:r>
    </w:p>
    <w:p w14:paraId="07FF7376"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（五）不列入基金费用的项目</w:t>
      </w:r>
    </w:p>
    <w:p w14:paraId="6DFD316F"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合同》生效前的律师费、会计师费和信息披露费用不得从基金财产中列支；基金管理人和基金托管人因未履行或未完全履行义务导致的费用支出或基金财产的损失，处理与基金运作无关的事项发生的费用以及其他根据相关法律法规及中国证监会的有关规定不得列入基金费用的项目等不列入基金费用。</w:t>
      </w:r>
    </w:p>
    <w:p w14:paraId="255E58AD"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（六）基金费用的复核程序、支付方式和时间</w:t>
      </w:r>
    </w:p>
    <w:p w14:paraId="2F7CA74F"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基金托管人对基金管理人计提的基金管理费、基金托管费、基金销售服务费等，根据本托管协议和《基金合同》的有关规定进行复核。</w:t>
      </w:r>
    </w:p>
    <w:p w14:paraId="5C2B5FF5"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在首期支付基金管理费、销售服务费前，基金管理人应向托管人出具正式函件指定基金管理费、销售服务费的收款账户。基金管理人如需要变更此账户，应提前5个工作日向托管人出具书面的收款账户变更通知。</w:t>
      </w:r>
    </w:p>
    <w:p w14:paraId="070D272E"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（七）实施侧袋机制期间的基金费用</w:t>
      </w:r>
    </w:p>
    <w:p w14:paraId="1EA4B5C7"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基金实施侧袋机制的，与侧袋账户有关的费用可以从侧袋账户中列支，但应待侧袋账户资产变现后方可列支，有关费用可酌情收取或减免，但不得收取管理费（包含固定管理费、或有管理费和超额管理费），详见招募说明书的规定或相关公告。</w:t>
      </w:r>
    </w:p>
    <w:p w14:paraId="2FDE5143"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（八）违规处理方式</w:t>
      </w:r>
    </w:p>
    <w:p w14:paraId="7EE03321"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托管人发现基金管理人违反《基金法》、《基金合同》、《运作办法》及其他有关规定从基金财产中列支费用时，基金托管人可要求基金管理人予以说明解释，如基金管理人无正当理由，基金托管人可拒绝支付。</w:t>
      </w:r>
    </w:p>
    <w:p w14:paraId="7A16773D" w14:textId="77777777" w:rsidR="00E77209" w:rsidRDefault="00E77209">
      <w:pPr>
        <w:adjustRightInd w:val="0"/>
        <w:snapToGrid w:val="0"/>
        <w:rPr>
          <w:rFonts w:ascii="彩虹粗仿宋" w:eastAsia="彩虹粗仿宋" w:hAnsi="宋体" w:cs="Arial"/>
          <w:sz w:val="24"/>
        </w:rPr>
      </w:pPr>
    </w:p>
    <w:p w14:paraId="4AE961E9" w14:textId="77777777" w:rsidR="00E77209" w:rsidRDefault="009B3274">
      <w:pPr>
        <w:pStyle w:val="2"/>
        <w:jc w:val="center"/>
        <w:rPr>
          <w:rFonts w:ascii="彩虹粗仿宋" w:eastAsia="彩虹粗仿宋"/>
          <w:sz w:val="30"/>
        </w:rPr>
      </w:pPr>
      <w:bookmarkStart w:id="96" w:name="_Toc124325896"/>
      <w:r>
        <w:rPr>
          <w:rFonts w:ascii="彩虹粗仿宋" w:eastAsia="彩虹粗仿宋" w:hint="eastAsia"/>
          <w:sz w:val="30"/>
        </w:rPr>
        <w:t>十二、基金份额持有人名册的保管</w:t>
      </w:r>
      <w:bookmarkEnd w:id="96"/>
    </w:p>
    <w:p w14:paraId="765E0022" w14:textId="2402EC11"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基金份额持有人名册至少应包括基金份额持有人的名称和持有的基金份额。基金份额持有人名册由基金登记机构根据基金管理人的指令编制和保管，基金管</w:t>
      </w:r>
      <w:r>
        <w:rPr>
          <w:rFonts w:ascii="彩虹粗仿宋" w:eastAsia="彩虹粗仿宋" w:hAnsi="宋体" w:cs="Arial" w:hint="eastAsia"/>
          <w:sz w:val="24"/>
        </w:rPr>
        <w:lastRenderedPageBreak/>
        <w:t>理人和基金托管人应分别保管基金份额持有人名册，保存期限按照法律法规的规定执行。如不能妥善保管，则按相关法规承担责任。</w:t>
      </w:r>
    </w:p>
    <w:p w14:paraId="734CD133" w14:textId="1F270146"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在基金托管人要求或编制中期报告和年度报告前，基金管理人应将有关资料送交基金托管人，不得无故拒绝或延误提供，并保证其真实性、准确性和完整性。</w:t>
      </w:r>
      <w:r>
        <w:rPr>
          <w:rFonts w:ascii="彩虹粗仿宋" w:eastAsia="彩虹粗仿宋" w:hAnsi="宋体" w:hint="eastAsia"/>
          <w:kern w:val="0"/>
          <w:sz w:val="24"/>
        </w:rPr>
        <w:t>基金托管人不得将所保管的基金份额持有人名册用于基金托管业务以外的其他用途，并应遵守保密义务。</w:t>
      </w:r>
    </w:p>
    <w:p w14:paraId="2BDD4471" w14:textId="77777777" w:rsidR="00E77209" w:rsidRDefault="00E77209">
      <w:pPr>
        <w:adjustRightInd w:val="0"/>
        <w:snapToGrid w:val="0"/>
        <w:rPr>
          <w:rFonts w:ascii="彩虹粗仿宋" w:eastAsia="彩虹粗仿宋" w:hAnsi="宋体" w:cs="Arial"/>
          <w:sz w:val="24"/>
        </w:rPr>
      </w:pPr>
    </w:p>
    <w:p w14:paraId="6297703A" w14:textId="77777777" w:rsidR="00E77209" w:rsidRDefault="009B3274">
      <w:pPr>
        <w:pStyle w:val="2"/>
        <w:jc w:val="center"/>
        <w:rPr>
          <w:rFonts w:ascii="彩虹粗仿宋" w:eastAsia="彩虹粗仿宋"/>
          <w:sz w:val="30"/>
        </w:rPr>
      </w:pPr>
      <w:bookmarkStart w:id="97" w:name="_Toc124325897"/>
      <w:r>
        <w:rPr>
          <w:rFonts w:ascii="彩虹粗仿宋" w:eastAsia="彩虹粗仿宋" w:hint="eastAsia"/>
          <w:sz w:val="30"/>
        </w:rPr>
        <w:t>十三、基金有关文件档案的保存</w:t>
      </w:r>
      <w:bookmarkEnd w:id="97"/>
    </w:p>
    <w:p w14:paraId="66B93E5B"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（一）档案保存</w:t>
      </w:r>
    </w:p>
    <w:p w14:paraId="6B9A085D" w14:textId="36689DA4"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应保存基金财产管理业务活动的记录、账册、报表和其他相关资料。基金托管人应保存基金托管业务活动的记录、账册、报表和其他相关资料。基金管理人和基金托管人都应当按法律法规规定的期限保管。</w:t>
      </w:r>
    </w:p>
    <w:p w14:paraId="5ECAB8C3"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（二）合同档案的建立</w:t>
      </w:r>
    </w:p>
    <w:p w14:paraId="221F0A4D" w14:textId="1C8B1D12"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1.基金管理人签署重大合同文本后，应及时将合同文本送达基金托管人处。</w:t>
      </w:r>
    </w:p>
    <w:p w14:paraId="1BDAF04F"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2.基金管理人应及时将与本基金账务处理、资金划拨等有关的合同、协议传真基金托管人。</w:t>
      </w:r>
    </w:p>
    <w:p w14:paraId="3941D35A"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（三）变更与协助</w:t>
      </w:r>
    </w:p>
    <w:p w14:paraId="2D55F691" w14:textId="77777777" w:rsidR="00E77209" w:rsidRDefault="009B3274">
      <w:pPr>
        <w:adjustRightInd w:val="0"/>
        <w:snapToGrid w:val="0"/>
        <w:ind w:firstLineChars="200" w:firstLine="480"/>
        <w:rPr>
          <w:rFonts w:ascii="彩虹粗仿宋" w:eastAsia="彩虹粗仿宋"/>
          <w:b/>
          <w:bCs/>
          <w:sz w:val="30"/>
          <w:szCs w:val="30"/>
        </w:rPr>
      </w:pPr>
      <w:r>
        <w:rPr>
          <w:rFonts w:ascii="彩虹粗仿宋" w:eastAsia="彩虹粗仿宋" w:hAnsi="宋体" w:cs="Arial" w:hint="eastAsia"/>
          <w:sz w:val="24"/>
        </w:rPr>
        <w:t>若基金管理人/基金托管人发生变更，未变更的一方有义务协助变更后的接任人接收相应文件。</w:t>
      </w:r>
    </w:p>
    <w:p w14:paraId="1820146C" w14:textId="47644506" w:rsidR="00E77209" w:rsidRDefault="00E77209">
      <w:pPr>
        <w:adjustRightInd w:val="0"/>
        <w:snapToGrid w:val="0"/>
        <w:rPr>
          <w:rFonts w:ascii="彩虹粗仿宋" w:eastAsia="彩虹粗仿宋"/>
          <w:sz w:val="30"/>
          <w:szCs w:val="30"/>
        </w:rPr>
      </w:pPr>
    </w:p>
    <w:p w14:paraId="21BC2D3B" w14:textId="77777777" w:rsidR="00E77209" w:rsidRDefault="009B3274">
      <w:pPr>
        <w:pStyle w:val="2"/>
        <w:jc w:val="center"/>
        <w:rPr>
          <w:rFonts w:ascii="彩虹粗仿宋" w:eastAsia="彩虹粗仿宋"/>
          <w:sz w:val="30"/>
        </w:rPr>
      </w:pPr>
      <w:bookmarkStart w:id="98" w:name="_Toc124325898"/>
      <w:r>
        <w:rPr>
          <w:rFonts w:ascii="彩虹粗仿宋" w:eastAsia="彩虹粗仿宋" w:hint="eastAsia"/>
          <w:sz w:val="30"/>
        </w:rPr>
        <w:t>十四、基金管理人和基金托管人的更换</w:t>
      </w:r>
      <w:bookmarkEnd w:id="98"/>
    </w:p>
    <w:p w14:paraId="4B1FFA8A"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（一）基金管理人职责终止的情形</w:t>
      </w:r>
    </w:p>
    <w:p w14:paraId="24DB4C43"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1.基金管理人职责终止的情形</w:t>
      </w:r>
    </w:p>
    <w:p w14:paraId="0C096ECD"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有下列情形之一的，基金管理人职责终止：</w:t>
      </w:r>
    </w:p>
    <w:p w14:paraId="60EC5462"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(1)被依法取消基金管理资格；</w:t>
      </w:r>
    </w:p>
    <w:p w14:paraId="656E305B"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(2)依法解散、被依法撤销或被依法宣告破产；</w:t>
      </w:r>
    </w:p>
    <w:p w14:paraId="4F41FD75"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(3)被基金份额持有人大会解任；</w:t>
      </w:r>
    </w:p>
    <w:p w14:paraId="31A548A6"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(4)法律法规及中国证监会规定的和《基金合同》约定的其他情形。</w:t>
      </w:r>
    </w:p>
    <w:p w14:paraId="2CE0C54C"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2.基金管理人的更换程序</w:t>
      </w:r>
    </w:p>
    <w:p w14:paraId="45FDC8E7"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更换基金管理人必须依照如下程序进行：</w:t>
      </w:r>
    </w:p>
    <w:p w14:paraId="34112D05"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(1)提名：新任基金管理人由基金托管人</w:t>
      </w:r>
      <w:r>
        <w:rPr>
          <w:rFonts w:ascii="彩虹粗仿宋" w:eastAsia="彩虹粗仿宋" w:hint="eastAsia"/>
          <w:sz w:val="24"/>
        </w:rPr>
        <w:t>或由单独或合计持有10%以上(含10%)基金份额的基金份额持有人</w:t>
      </w:r>
      <w:r>
        <w:rPr>
          <w:rFonts w:ascii="彩虹粗仿宋" w:eastAsia="彩虹粗仿宋" w:hAnsi="宋体" w:cs="Arial" w:hint="eastAsia"/>
          <w:sz w:val="24"/>
        </w:rPr>
        <w:t>提名；</w:t>
      </w:r>
    </w:p>
    <w:p w14:paraId="11F8F043"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(2)决议：基金份额持有人大会在基金管理人职责终止后6个月内对被提名的基金管理人形成决议，该决议需经参加大会的基金份额持有人所持表决权的三分之二以上(含三分之二)表决通过</w:t>
      </w:r>
      <w:bookmarkStart w:id="99" w:name="OLE_LINK45"/>
      <w:r>
        <w:rPr>
          <w:rFonts w:ascii="彩虹粗仿宋" w:eastAsia="彩虹粗仿宋" w:hAnsi="宋体" w:cs="Arial" w:hint="eastAsia"/>
          <w:sz w:val="24"/>
        </w:rPr>
        <w:t>，决议自表决通过之日起生效</w:t>
      </w:r>
      <w:bookmarkEnd w:id="99"/>
      <w:r>
        <w:rPr>
          <w:rFonts w:ascii="彩虹粗仿宋" w:eastAsia="彩虹粗仿宋" w:hAnsi="宋体" w:cs="Arial" w:hint="eastAsia"/>
          <w:sz w:val="24"/>
        </w:rPr>
        <w:t>；</w:t>
      </w:r>
    </w:p>
    <w:p w14:paraId="1625ECD8"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(3)临时基金管理人：新任基金管理人产生之前，由中国证监会指定临时基金管理人；</w:t>
      </w:r>
    </w:p>
    <w:p w14:paraId="47FBDE47"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(4)备案：基金份额持有人大会更换基金管理人的决议须报中国证监会备案；</w:t>
      </w:r>
    </w:p>
    <w:p w14:paraId="248B3265"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(5)公告：基金管理人更换后，由基金托管人在更换基金管理人的基金份额持</w:t>
      </w:r>
      <w:r>
        <w:rPr>
          <w:rFonts w:ascii="彩虹粗仿宋" w:eastAsia="彩虹粗仿宋" w:hAnsi="宋体" w:cs="Arial" w:hint="eastAsia"/>
          <w:sz w:val="24"/>
        </w:rPr>
        <w:lastRenderedPageBreak/>
        <w:t>有人大会决议生效后按规定在规定媒介公告；</w:t>
      </w:r>
    </w:p>
    <w:p w14:paraId="0B19160D"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(6)交接：基金管理人职责终止的，基金管理人应妥善保管基金管理业务资料，及时向临时基金管理人或新任基金管理人办理基金管理业务的移交手续，临时基金管理人或新任基金管理人应及时接收。临时基金管理人或新任基金管理人应与基金托管人核对基金资产总值和净值；</w:t>
      </w:r>
    </w:p>
    <w:p w14:paraId="5C6F9D87"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(7)审计：基金管理人职责终止的，应当按照法律法规规定聘请会计师事务所对基金财产进行审计，并将审计结果予以公告，同时报中国证监会备案，审计费由基金财产承担；</w:t>
      </w:r>
    </w:p>
    <w:p w14:paraId="40FB35B6" w14:textId="77777777" w:rsidR="00E77209" w:rsidRDefault="009B3274">
      <w:pPr>
        <w:adjustRightInd w:val="0"/>
        <w:snapToGrid w:val="0"/>
        <w:ind w:firstLineChars="200" w:firstLine="480"/>
        <w:rPr>
          <w:rFonts w:ascii="彩虹粗仿宋" w:eastAsia="彩虹粗仿宋"/>
          <w:sz w:val="30"/>
          <w:szCs w:val="30"/>
        </w:rPr>
      </w:pPr>
      <w:r>
        <w:rPr>
          <w:rFonts w:ascii="彩虹粗仿宋" w:eastAsia="彩虹粗仿宋" w:hAnsi="宋体" w:cs="Arial" w:hint="eastAsia"/>
          <w:sz w:val="24"/>
        </w:rPr>
        <w:t>(8)基金名称变更：基金管理人更换后，如果原任或新任基金管理人要求，应按其要求替换或删除基金名称中与原基金管理人有关的名称字样。</w:t>
      </w:r>
    </w:p>
    <w:p w14:paraId="00484FA7"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（二）基金托管人职责终止的情形</w:t>
      </w:r>
    </w:p>
    <w:p w14:paraId="7124668C"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1.基金托管人职责终止的情形</w:t>
      </w:r>
    </w:p>
    <w:p w14:paraId="1C7F017F"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有下列情形之一的，基金托管人职责终止：</w:t>
      </w:r>
    </w:p>
    <w:p w14:paraId="4F6937EF"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(1)被依法取消基金托管资格；</w:t>
      </w:r>
    </w:p>
    <w:p w14:paraId="12939AA7"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(2)依法解散、被依法撤销或被依法宣告破产；</w:t>
      </w:r>
    </w:p>
    <w:p w14:paraId="43A0AF71"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(3)被基金份额持有人大会解任；</w:t>
      </w:r>
    </w:p>
    <w:p w14:paraId="0677536D"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(4)法律法规及中国证监会规定的和《基金合同》约定的其他情形。</w:t>
      </w:r>
    </w:p>
    <w:p w14:paraId="2AC83A1E"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2.基金托管人的更换程序</w:t>
      </w:r>
    </w:p>
    <w:p w14:paraId="5E6A493E"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(1)提名：新任基金托管人由基金管理人</w:t>
      </w:r>
      <w:r>
        <w:rPr>
          <w:rFonts w:ascii="彩虹粗仿宋" w:eastAsia="彩虹粗仿宋" w:hint="eastAsia"/>
          <w:sz w:val="24"/>
        </w:rPr>
        <w:t>或由单独或合计持有10%以上(含10%)基金份额的基金份额持有人</w:t>
      </w:r>
      <w:r>
        <w:rPr>
          <w:rFonts w:ascii="彩虹粗仿宋" w:eastAsia="彩虹粗仿宋" w:hAnsi="宋体" w:cs="Arial" w:hint="eastAsia"/>
          <w:sz w:val="24"/>
        </w:rPr>
        <w:t>提名；</w:t>
      </w:r>
    </w:p>
    <w:p w14:paraId="2E88C024"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决议：基金份额持有人大会在基金托管人职责终止后6个月内对被提名的基金托管人形成决议，该决议需经参加大会的基金份额持有人所持表决权的三分之二以上(含三分之二)表决通过，决议自表决通过之日起生效；</w:t>
      </w:r>
    </w:p>
    <w:p w14:paraId="4F3FFF24"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(3)临时基金托管人：新任基金托管人产生之前，由中国证监会指定临时基金托管人；</w:t>
      </w:r>
    </w:p>
    <w:p w14:paraId="652BEEA7"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(4)备案：基金份额持有人大会更换基金托管人的决议须报中国证监会备案；</w:t>
      </w:r>
    </w:p>
    <w:p w14:paraId="616F700E"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(5)公告：基金托管人更换后，由基金管理人在更换基金托管人的基金份额持有人大会决议生效后按规定在规定媒介公告；</w:t>
      </w:r>
    </w:p>
    <w:p w14:paraId="0B2ABECD"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(6)交接：基金托管人职责终止的，应当妥善保管基金财产和基金托管业务资料，及时办理基金财产和基金托管业务的移交手续，新任基金托管人或者临时基金托管人应当及时接收。新任基金托管人或临时基金托管人与基金管理人核对基金资产总值和净值；</w:t>
      </w:r>
    </w:p>
    <w:p w14:paraId="01E67FAA"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(7)审计：基金托管人职责终止的，应当按照法律法规规定聘请会计师事务所对基金财产进行审计，并将审计结果予以公告，同时报中国证监会备案，审计费由基金财产承担。</w:t>
      </w:r>
    </w:p>
    <w:p w14:paraId="02BC5149"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（三）基金管理人与基金托管人同时更换的条件和程序</w:t>
      </w:r>
    </w:p>
    <w:p w14:paraId="0D871DAA"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1.提名：如果基金管理人和基金托管人同时更换，由单独或合计持有基金总份额10%以上(含10%)的基金份额持有人提名新的基金管理人和基金托管人；</w:t>
      </w:r>
    </w:p>
    <w:p w14:paraId="1389B974"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2.基金管理人和基金托管人的更换分别按上述程序进行；</w:t>
      </w:r>
    </w:p>
    <w:p w14:paraId="259C59EC"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3.公告：新任基金管理人和新任基金托管人应在更换基金管理人和基金托管人的基金份额持有人大会决议生效后按规定在规定媒介上联合公告。</w:t>
      </w:r>
    </w:p>
    <w:p w14:paraId="7A327EA7"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四）新任或临时基金管理人接收基金管理业务或新任或临时基金托管人接收基金财产和基金托管业务前，原基金管理人或原基金托管人应依据法律法规和基金合同的规定继续履行相关职责，并保证不做出对基金份额持有人的利益造成</w:t>
      </w:r>
      <w:r>
        <w:rPr>
          <w:rFonts w:ascii="彩虹粗仿宋" w:eastAsia="彩虹粗仿宋" w:hAnsi="宋体" w:cs="Arial" w:hint="eastAsia"/>
          <w:sz w:val="24"/>
        </w:rPr>
        <w:lastRenderedPageBreak/>
        <w:t>损害的行为。原基金管理人或原基金托管人在继续履行相关职责期间，仍有权按照《基金合同》的规定收取基金管理费（包括固定管理费、或有管理费和超额管理费）或基金托管费。</w:t>
      </w:r>
    </w:p>
    <w:p w14:paraId="7E31C513" w14:textId="1D3B8C98"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五）本部分关于基金管理人、基金托管人更换条件和程序的约定，凡是直接引用法律法规或监管规则的部分，如法律法规或监管规则修改导致相关内容被取消或变更的，基金管理人在履行适当程序后，可对相应内容进行修改和调整，无需召开基金份额持有人大会审议。</w:t>
      </w:r>
    </w:p>
    <w:p w14:paraId="56626635" w14:textId="77777777" w:rsidR="00E77209" w:rsidRDefault="00E77209">
      <w:pPr>
        <w:adjustRightInd w:val="0"/>
        <w:snapToGrid w:val="0"/>
        <w:rPr>
          <w:rFonts w:ascii="彩虹粗仿宋" w:eastAsia="彩虹粗仿宋" w:hAnsi="宋体" w:cs="Arial"/>
          <w:sz w:val="24"/>
        </w:rPr>
      </w:pPr>
    </w:p>
    <w:p w14:paraId="17F7E648" w14:textId="77777777" w:rsidR="00E77209" w:rsidRDefault="00E77209">
      <w:pPr>
        <w:adjustRightInd w:val="0"/>
        <w:snapToGrid w:val="0"/>
        <w:ind w:firstLineChars="200" w:firstLine="480"/>
        <w:rPr>
          <w:rFonts w:ascii="彩虹粗仿宋" w:eastAsia="彩虹粗仿宋" w:hAnsi="宋体" w:cs="Arial"/>
          <w:sz w:val="24"/>
        </w:rPr>
      </w:pPr>
    </w:p>
    <w:p w14:paraId="1C4A28A2" w14:textId="77777777" w:rsidR="00E77209" w:rsidRDefault="00E77209">
      <w:pPr>
        <w:adjustRightInd w:val="0"/>
        <w:snapToGrid w:val="0"/>
        <w:rPr>
          <w:rFonts w:ascii="彩虹粗仿宋" w:eastAsia="彩虹粗仿宋" w:hAnsi="宋体" w:cs="Arial"/>
          <w:sz w:val="24"/>
        </w:rPr>
      </w:pPr>
    </w:p>
    <w:p w14:paraId="64058579" w14:textId="77777777" w:rsidR="00E77209" w:rsidRDefault="009B3274">
      <w:pPr>
        <w:pStyle w:val="2"/>
        <w:jc w:val="center"/>
        <w:rPr>
          <w:rFonts w:ascii="彩虹粗仿宋" w:eastAsia="彩虹粗仿宋"/>
          <w:sz w:val="30"/>
        </w:rPr>
      </w:pPr>
      <w:bookmarkStart w:id="100" w:name="_Toc124325899"/>
      <w:r>
        <w:rPr>
          <w:rFonts w:ascii="彩虹粗仿宋" w:eastAsia="彩虹粗仿宋" w:hint="eastAsia"/>
          <w:sz w:val="30"/>
        </w:rPr>
        <w:t>十五、禁止行为</w:t>
      </w:r>
      <w:bookmarkEnd w:id="100"/>
    </w:p>
    <w:p w14:paraId="42DE5CC2"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本协议当事人禁止从事的行为，包括但不限于：</w:t>
      </w:r>
    </w:p>
    <w:p w14:paraId="6799443C"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（一）基金管理人、基金托管人将其固有财产或者他人财产混同于基金财产从事证券投资。</w:t>
      </w:r>
    </w:p>
    <w:p w14:paraId="7DDB8FC1"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（二）基金管理人不公平地对待其管理的不同基金财产，基金托管人不公平地对待其托管的不同基金财产。</w:t>
      </w:r>
    </w:p>
    <w:p w14:paraId="6B26D6C5"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（三）基金管理人、基金托管人利用基金财产或职务之便为基金份额持有人以外的人牟取利益。</w:t>
      </w:r>
    </w:p>
    <w:p w14:paraId="4C0A46EA"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（四）基金管理人、基金托管人向基金份额持有人违规承诺收益或者承担损失。</w:t>
      </w:r>
    </w:p>
    <w:p w14:paraId="414F68E2" w14:textId="108D53DA"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（五）基金管理人、基金托管人对他人泄露基金运作和管理过程中任何尚未按法律法规规定的方式公开披露的信息。</w:t>
      </w:r>
    </w:p>
    <w:p w14:paraId="1E7772D5"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（六）基金管理人在没有充足资金的情况下向基金托管人发出投资指令和赎回、分红资金的划拨指令，或违规向基金托管人发出指令。</w:t>
      </w:r>
    </w:p>
    <w:p w14:paraId="677D08DA"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（七）基金管理人、基金托管人在行政上、财务上不独立,其董事、监事（如有）、高级管理人员和其他从业人员相互兼职。</w:t>
      </w:r>
    </w:p>
    <w:p w14:paraId="48EF2FD3"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（八）基金托管人私自动用或处分基金财产，根据基金管理人的合法指令、《基金合同》或托管协议的规定进行处分的除外。</w:t>
      </w:r>
    </w:p>
    <w:p w14:paraId="1B0A7FE1" w14:textId="227E11CF"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九）基金财产用于下列投资或者活动：1.承销证券；2.违反规定向他人贷款或者提供担保；3.从事承担无限责任的投资；4.买卖其他基金份额，但是法律法规或中国证监会另有规定的除外；5.向其基金管理人、基金托管人出资；6.从事内幕交易、操纵证券交易价格及其他不正当的证券交易活动；7.法律、行政法规和中国证监会规定禁止的其他活动。</w:t>
      </w:r>
    </w:p>
    <w:p w14:paraId="7CD8A67D" w14:textId="597DEA52"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（十）法律法规和《基金合同》禁止的其他行为，以及依照法律、行政法规有关规定，由中国证监会规定禁止基金管理人、基金托管人从事的其他行为。</w:t>
      </w:r>
    </w:p>
    <w:p w14:paraId="1E77FBC1" w14:textId="77777777" w:rsidR="00E77209" w:rsidRDefault="009B3274">
      <w:pPr>
        <w:adjustRightInd w:val="0"/>
        <w:snapToGrid w:val="0"/>
        <w:ind w:firstLineChars="200" w:firstLine="480"/>
        <w:rPr>
          <w:rFonts w:ascii="彩虹粗仿宋" w:eastAsia="彩虹粗仿宋"/>
          <w:sz w:val="30"/>
          <w:szCs w:val="30"/>
        </w:rPr>
      </w:pPr>
      <w:r>
        <w:rPr>
          <w:rFonts w:ascii="彩虹粗仿宋" w:eastAsia="彩虹粗仿宋" w:hAnsi="宋体" w:cs="Arial" w:hint="eastAsia"/>
          <w:sz w:val="24"/>
        </w:rPr>
        <w:t>法律法规或监管部门取消或变更上述限制，如适用于本基金，基金管理人在履行适当程序后，则本基金投资不再受相关限制或按变更后的规定执行。</w:t>
      </w:r>
    </w:p>
    <w:p w14:paraId="7C01D5C7" w14:textId="77777777" w:rsidR="00E77209" w:rsidRDefault="009B3274">
      <w:pPr>
        <w:pStyle w:val="2"/>
        <w:jc w:val="center"/>
        <w:rPr>
          <w:rFonts w:ascii="彩虹粗仿宋" w:eastAsia="彩虹粗仿宋"/>
          <w:sz w:val="30"/>
        </w:rPr>
      </w:pPr>
      <w:bookmarkStart w:id="101" w:name="_Toc124325900"/>
      <w:r>
        <w:rPr>
          <w:rFonts w:ascii="彩虹粗仿宋" w:eastAsia="彩虹粗仿宋" w:hint="eastAsia"/>
          <w:sz w:val="30"/>
        </w:rPr>
        <w:t>十六、托管协议的变更、终止与基金财产的清算</w:t>
      </w:r>
      <w:bookmarkEnd w:id="101"/>
    </w:p>
    <w:p w14:paraId="6D733C1C"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（一）托管协议的变更程序</w:t>
      </w:r>
    </w:p>
    <w:p w14:paraId="78D5F215" w14:textId="77777777" w:rsidR="00E77209" w:rsidRDefault="009B3274">
      <w:pPr>
        <w:adjustRightInd w:val="0"/>
        <w:snapToGrid w:val="0"/>
        <w:ind w:firstLineChars="200" w:firstLine="480"/>
        <w:rPr>
          <w:rFonts w:ascii="彩虹粗仿宋" w:eastAsia="彩虹粗仿宋"/>
          <w:sz w:val="30"/>
          <w:szCs w:val="30"/>
        </w:rPr>
      </w:pPr>
      <w:r>
        <w:rPr>
          <w:rFonts w:ascii="彩虹粗仿宋" w:eastAsia="彩虹粗仿宋" w:hAnsi="宋体" w:cs="Arial" w:hint="eastAsia"/>
          <w:sz w:val="24"/>
        </w:rPr>
        <w:t>本协议双方当事人经协商一致，可以对协议进行修改。修改后的新协议，其内</w:t>
      </w:r>
      <w:r>
        <w:rPr>
          <w:rFonts w:ascii="彩虹粗仿宋" w:eastAsia="彩虹粗仿宋" w:hAnsi="宋体" w:cs="Arial" w:hint="eastAsia"/>
          <w:sz w:val="24"/>
        </w:rPr>
        <w:lastRenderedPageBreak/>
        <w:t>容不得与《基金合同》的规定有任何冲突。履行适当程序后基金托管协议变更。</w:t>
      </w:r>
    </w:p>
    <w:p w14:paraId="42B50FD5"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（二）托管协议终止的情形</w:t>
      </w:r>
    </w:p>
    <w:p w14:paraId="372D3020"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1.《基金合同》终止；</w:t>
      </w:r>
    </w:p>
    <w:p w14:paraId="5B9C1BFB"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2.基金托管人解散、依法被撤销、破产或由其他基金托管人接管基金资产；</w:t>
      </w:r>
    </w:p>
    <w:p w14:paraId="0EEA5CA7"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3.基金管理人解散、依法被撤销、破产或由其他基金管理人接管基金管理权；</w:t>
      </w:r>
    </w:p>
    <w:p w14:paraId="4FF13ECB"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4.发生法律法规或《基金合同》规定的终止事项。</w:t>
      </w:r>
    </w:p>
    <w:p w14:paraId="7502E090"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（三）基金财产的清算</w:t>
      </w:r>
    </w:p>
    <w:p w14:paraId="0A6DE6F5"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1.基金财产清算小组：自出现《基金合同》终止事由之日起30个工作日内成立基金财产清算小组，基金管理人组织基金财产清算小组并在中国证监会的监督下进行基金清算。</w:t>
      </w:r>
    </w:p>
    <w:p w14:paraId="3541F52F"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财产清算小组组成：基金财产清算小组成员由基金管理人、基金托管人、符合《中华人民共和国证券法》规定的注册会计师、律师以及中国证监会指定的人员组成。基金财产清算小组可以聘用必要的工作人员。</w:t>
      </w:r>
    </w:p>
    <w:p w14:paraId="3E67DE0C" w14:textId="4E932780"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3.在基金财产清算过程中，基金管理人和基金托管人应各自履行职责，继续忠实、勤勉、尽责地履行基金合同和托管协议规定的义务，维护基金份额持有人的合法权益。</w:t>
      </w:r>
    </w:p>
    <w:p w14:paraId="31BE4143"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w:t>
      </w:r>
      <w:r>
        <w:rPr>
          <w:rFonts w:ascii="彩虹粗仿宋" w:eastAsia="彩虹粗仿宋" w:hAnsi="宋体" w:cs="Arial"/>
          <w:sz w:val="24"/>
        </w:rPr>
        <w:t>.</w:t>
      </w:r>
      <w:r>
        <w:rPr>
          <w:rFonts w:ascii="彩虹粗仿宋" w:eastAsia="彩虹粗仿宋" w:hAnsi="宋体" w:cs="Arial" w:hint="eastAsia"/>
          <w:sz w:val="24"/>
        </w:rPr>
        <w:t>基金财产清算小组职责：基金财产清算小组负责基金财产的保管、清理、估价、变现和分配。基金财产清算小组可以依法进行必要的民事活动。</w:t>
      </w:r>
    </w:p>
    <w:p w14:paraId="6ADA6514" w14:textId="7E5F3FEC"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5</w:t>
      </w:r>
      <w:r>
        <w:rPr>
          <w:rFonts w:ascii="彩虹粗仿宋" w:eastAsia="彩虹粗仿宋" w:hAnsi="宋体" w:cs="Arial" w:hint="eastAsia"/>
          <w:sz w:val="24"/>
        </w:rPr>
        <w:t>.基金财产清算程序：</w:t>
      </w:r>
    </w:p>
    <w:p w14:paraId="5764A3E1"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(1)《基金合同》终止情形出现时，由基金财产清算小组统一接管基金财产；</w:t>
      </w:r>
    </w:p>
    <w:p w14:paraId="4AEFD311"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(2)对基金财产和债权债务进行清理和确认；</w:t>
      </w:r>
    </w:p>
    <w:p w14:paraId="6D811554"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(3)对基金财产进行估值和变现；</w:t>
      </w:r>
    </w:p>
    <w:p w14:paraId="0C1C35C6"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(4)制作清算报告；</w:t>
      </w:r>
    </w:p>
    <w:p w14:paraId="3147A2F4"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(5)聘请会计师事务所对清算报告进行外部审计，聘请律师事务所对清算报告出具法律意见书；</w:t>
      </w:r>
    </w:p>
    <w:p w14:paraId="2443430F" w14:textId="27244C8D"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(6)将清算报告报中国证监会备案并公告；</w:t>
      </w:r>
    </w:p>
    <w:p w14:paraId="437056D0"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(7)对基金剩余财产进行分配。</w:t>
      </w:r>
    </w:p>
    <w:p w14:paraId="47BF4486" w14:textId="369994F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6</w:t>
      </w:r>
      <w:r>
        <w:rPr>
          <w:rFonts w:ascii="彩虹粗仿宋" w:eastAsia="彩虹粗仿宋" w:hAnsi="宋体" w:cs="Arial" w:hint="eastAsia"/>
          <w:sz w:val="24"/>
        </w:rPr>
        <w:t>.基金财产清算的期限为6个月，但因本基金所持证券的流动性受到限制而不能及时变现的，清算期限相应顺延。</w:t>
      </w:r>
    </w:p>
    <w:p w14:paraId="0FB4B627" w14:textId="3CF4961B"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7</w:t>
      </w:r>
      <w:r>
        <w:rPr>
          <w:rFonts w:ascii="彩虹粗仿宋" w:eastAsia="彩虹粗仿宋" w:hAnsi="宋体" w:cs="Arial" w:hint="eastAsia"/>
          <w:sz w:val="24"/>
        </w:rPr>
        <w:t>.清算费用</w:t>
      </w:r>
    </w:p>
    <w:p w14:paraId="22BCB81B"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清算费用是指基金财产清算小组在进行基金清算过程中发生的所有合理费用，清算费用由基金财产清算小组优先从基金财产中支付。</w:t>
      </w:r>
    </w:p>
    <w:p w14:paraId="3CEFB7A7" w14:textId="0E2F6380"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8</w:t>
      </w:r>
      <w:r>
        <w:rPr>
          <w:rFonts w:ascii="彩虹粗仿宋" w:eastAsia="彩虹粗仿宋" w:hAnsi="宋体" w:cs="Arial" w:hint="eastAsia"/>
          <w:sz w:val="24"/>
        </w:rPr>
        <w:t>.基金财产清算剩余资产的分配：</w:t>
      </w:r>
    </w:p>
    <w:p w14:paraId="53656552"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依据基金财产清算的分配方案，将基金财产清算后的全部剩余资产扣除基金财产清算费用、交纳所欠税款并清偿基金债务后，按各类基金份额持有人持有的相应类别基金份额比例进行分配。分配金额需</w:t>
      </w:r>
      <w:r>
        <w:rPr>
          <w:rFonts w:ascii="彩虹粗仿宋" w:eastAsia="彩虹粗仿宋" w:hAnsi="宋体" w:cs="Arial"/>
          <w:sz w:val="24"/>
        </w:rPr>
        <w:t>再加上或扣除</w:t>
      </w:r>
      <w:r>
        <w:rPr>
          <w:rFonts w:ascii="彩虹粗仿宋" w:eastAsia="彩虹粗仿宋" w:hAnsi="宋体" w:cs="Arial" w:hint="eastAsia"/>
          <w:sz w:val="24"/>
        </w:rPr>
        <w:t>相应的管理费用。</w:t>
      </w:r>
    </w:p>
    <w:p w14:paraId="73ECEAF4"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其中，对于投资人通过直销机构认购/申购的C类基金份额，计提的销售服务费将在基金合同终止时随剩余资产分配款项一并返还给投资者；对于投资人通过代销机构认购/申购且持续持有期限超过一年（即365天）的C类基金份额，持有超过一年后继续计提的销售服务费将在基金合同终止时随剩余资产分配款项一并返还给投资者。</w:t>
      </w:r>
    </w:p>
    <w:p w14:paraId="62FE8F9F" w14:textId="4B08E93C"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9</w:t>
      </w:r>
      <w:r>
        <w:rPr>
          <w:rFonts w:ascii="彩虹粗仿宋" w:eastAsia="彩虹粗仿宋" w:hAnsi="宋体" w:cs="Arial" w:hint="eastAsia"/>
          <w:sz w:val="24"/>
        </w:rPr>
        <w:t>.基金财产清算的公告</w:t>
      </w:r>
    </w:p>
    <w:p w14:paraId="5AD89FB3"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清算过程中的有关重大事项须及时公告；基金财产清算报告经符合《中华人民共和国证券法》规定的会计师事务所审计并由律师事务所出具法律意见书后，由基</w:t>
      </w:r>
      <w:r>
        <w:rPr>
          <w:rFonts w:ascii="彩虹粗仿宋" w:eastAsia="彩虹粗仿宋" w:hAnsi="宋体" w:cs="Arial" w:hint="eastAsia"/>
          <w:sz w:val="24"/>
        </w:rPr>
        <w:lastRenderedPageBreak/>
        <w:t>金财产清算小组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4373872B" w14:textId="2FE8846E"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10</w:t>
      </w:r>
      <w:r>
        <w:rPr>
          <w:rFonts w:ascii="彩虹粗仿宋" w:eastAsia="彩虹粗仿宋" w:hAnsi="宋体" w:cs="Arial" w:hint="eastAsia"/>
          <w:sz w:val="24"/>
        </w:rPr>
        <w:t>.基金财产清算账册及文件的保存</w:t>
      </w:r>
    </w:p>
    <w:p w14:paraId="4215611A" w14:textId="1C7097E0"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基金财产清算账册及有关文件由基金托管人保存，保存期限按照法律法规的规定执行。</w:t>
      </w:r>
    </w:p>
    <w:p w14:paraId="748349FE"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11.</w:t>
      </w:r>
      <w:r>
        <w:rPr>
          <w:rFonts w:ascii="彩虹粗仿宋" w:eastAsia="彩虹粗仿宋" w:hAnsi="宋体" w:cs="Arial" w:hint="eastAsia"/>
          <w:sz w:val="24"/>
        </w:rPr>
        <w:t>基金合并方案</w:t>
      </w:r>
    </w:p>
    <w:p w14:paraId="6BBA98B2"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本基金如与其他基金合并的，应当按照法律法规规定的程序进行。</w:t>
      </w:r>
    </w:p>
    <w:p w14:paraId="7080D594" w14:textId="77777777" w:rsidR="00E77209" w:rsidRDefault="00E77209">
      <w:pPr>
        <w:adjustRightInd w:val="0"/>
        <w:snapToGrid w:val="0"/>
        <w:ind w:firstLineChars="200" w:firstLine="480"/>
        <w:rPr>
          <w:rFonts w:ascii="彩虹粗仿宋" w:eastAsia="彩虹粗仿宋" w:hAnsi="宋体" w:cs="Arial"/>
          <w:sz w:val="24"/>
        </w:rPr>
      </w:pPr>
    </w:p>
    <w:p w14:paraId="198E84C8" w14:textId="77777777" w:rsidR="00E77209" w:rsidRDefault="00E77209">
      <w:pPr>
        <w:adjustRightInd w:val="0"/>
        <w:snapToGrid w:val="0"/>
        <w:rPr>
          <w:rFonts w:ascii="彩虹粗仿宋" w:eastAsia="彩虹粗仿宋" w:hAnsi="宋体" w:cs="Arial"/>
          <w:sz w:val="24"/>
        </w:rPr>
      </w:pPr>
    </w:p>
    <w:p w14:paraId="0B88A36F" w14:textId="77777777" w:rsidR="00E77209" w:rsidRDefault="009B3274">
      <w:pPr>
        <w:pStyle w:val="2"/>
        <w:jc w:val="center"/>
        <w:rPr>
          <w:rFonts w:ascii="彩虹粗仿宋" w:eastAsia="彩虹粗仿宋"/>
          <w:sz w:val="30"/>
        </w:rPr>
      </w:pPr>
      <w:bookmarkStart w:id="102" w:name="_Toc124325901"/>
      <w:r>
        <w:rPr>
          <w:rFonts w:ascii="彩虹粗仿宋" w:eastAsia="彩虹粗仿宋" w:hint="eastAsia"/>
          <w:sz w:val="30"/>
        </w:rPr>
        <w:t>十七、违约责任</w:t>
      </w:r>
      <w:bookmarkEnd w:id="102"/>
    </w:p>
    <w:p w14:paraId="13F28456"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（一）基金管理人、基金托管人不履行本协议或履行本协议不符合约定的，应当承担违约责任。</w:t>
      </w:r>
    </w:p>
    <w:p w14:paraId="59CB94C2"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二）基金管理人、基金托管人在履行各自职责的过程中，违反《基金法》等法律法规的规定或者《基金合同》和本托管协议约定，给基金财产或者基金份额持有人造成损害的，应当分别对各自的行为依法承担赔偿责任；因共同行为给基金财产或者基金份额持有人造成损害的，应当承担连带赔偿责任，对损失的赔偿，仅限于直接损失。</w:t>
      </w:r>
    </w:p>
    <w:p w14:paraId="7216B52F"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三）一方当事人违约，给另一方当事人造成损失的，应就直接损失进行赔偿；给基金财产造成损失的，应就直接损失进行赔偿，另一方当事人有权利及义务代表基金向违约方追偿。但是如发生下列情况，当事人免责：</w:t>
      </w:r>
    </w:p>
    <w:p w14:paraId="6C31BCB0"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1.不可抗力；</w:t>
      </w:r>
    </w:p>
    <w:p w14:paraId="4B20AC70"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2.基金管理人、基金托管人按照当时有效的法律法规或中国证监会的规定作为或不作为而造成的损失等；</w:t>
      </w:r>
    </w:p>
    <w:p w14:paraId="3F84324F"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3.在没有过错的情况下，基金管理人由于按照《基金合同》规定的投资原则投资或不投资造成的直接损失或潜在损失等；</w:t>
      </w:r>
    </w:p>
    <w:p w14:paraId="4D8AD093"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4.非因基金管理人、基金托管人的故意或重大过失造成的计算机系统故障、网络故障、通讯故障、电力故障、计算机病毒攻击及其它意外事故所导致的损失等。</w:t>
      </w:r>
    </w:p>
    <w:p w14:paraId="61706301"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四）一方当事人违约，另一方当事人在职责范围内有义务及时采取必要的措施，尽力防止损失的扩大。没有采取适当措施致使损失进一步扩大的，不得就扩大的损失要求赔偿。非违约方因防止损失扩大而支出的合理费用由违约方承担。</w:t>
      </w:r>
    </w:p>
    <w:p w14:paraId="2F9301C5"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（五）违约行为虽已发生，但本托管协议能够继续履行的，在最大限度地保护基金份额持有人利益的前提下，基金管理人和基金托管人应当继续履行本协议。</w:t>
      </w:r>
    </w:p>
    <w:p w14:paraId="35B7A554" w14:textId="77777777" w:rsidR="00E77209" w:rsidRDefault="009B3274">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六）由于基金管理人、基金托管人不可控制的因素导致业务出现差错，基金管理人和基金托管人虽然已经采取必要、适当、合理的措施进行检查，但是未能发现错误、遗漏或因上述原因未能及时更正的，由此造成基金财产或投资人损失，基金管理人和基金托管人免除赔偿责任。但是基金管理人和基金托管人应积极采取必要的措施减轻或消除由此造成的影响。</w:t>
      </w:r>
    </w:p>
    <w:p w14:paraId="614E5B49" w14:textId="77777777" w:rsidR="00E77209" w:rsidRDefault="00E77209">
      <w:pPr>
        <w:adjustRightInd w:val="0"/>
        <w:snapToGrid w:val="0"/>
        <w:outlineLvl w:val="0"/>
        <w:rPr>
          <w:rFonts w:ascii="彩虹粗仿宋" w:eastAsia="彩虹粗仿宋" w:hAnsi="宋体" w:cs="Arial"/>
          <w:sz w:val="24"/>
        </w:rPr>
      </w:pPr>
    </w:p>
    <w:p w14:paraId="1610DC35" w14:textId="77777777" w:rsidR="00E77209" w:rsidRDefault="009B3274">
      <w:pPr>
        <w:pStyle w:val="2"/>
        <w:jc w:val="center"/>
        <w:rPr>
          <w:rFonts w:ascii="彩虹粗仿宋" w:eastAsia="彩虹粗仿宋"/>
          <w:sz w:val="30"/>
        </w:rPr>
      </w:pPr>
      <w:bookmarkStart w:id="103" w:name="_Toc124325902"/>
      <w:r>
        <w:rPr>
          <w:rFonts w:ascii="彩虹粗仿宋" w:eastAsia="彩虹粗仿宋" w:hint="eastAsia"/>
          <w:sz w:val="30"/>
        </w:rPr>
        <w:lastRenderedPageBreak/>
        <w:t>十八、争议解决方式</w:t>
      </w:r>
      <w:bookmarkEnd w:id="103"/>
    </w:p>
    <w:p w14:paraId="1FDCAB2E" w14:textId="267F2326"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因本协议产生或与之相关的争议，双方当事人应通过协商、调解解决，协商、调解不能解决的，有权将争议提交中国国际经济贸易仲裁委员会，仲裁地点为北京市，按照中国国际经济贸易仲裁委员会届时有效的仲裁规则进行仲裁。仲裁裁决是终局的，对当事人均有约束力。除非仲裁裁决另有规定，仲裁费用由败诉方承担。</w:t>
      </w:r>
    </w:p>
    <w:p w14:paraId="6F9FD9F3"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争议处理期间，双方当事人应恪守基金管理人和基金托管人职责，各自继续忠实、勤勉、尽责地履行《基金合同》和本托管协议规定的义务，维护基金份额持有人的合法权益。</w:t>
      </w:r>
    </w:p>
    <w:p w14:paraId="6279421A"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本协议受中国法律（为本协议之目的，不包括香港、澳门特别行政区和台湾地区法律）管辖并从其解释。</w:t>
      </w:r>
    </w:p>
    <w:p w14:paraId="60E9BEFA" w14:textId="77777777" w:rsidR="00E77209" w:rsidRDefault="00E77209">
      <w:pPr>
        <w:adjustRightInd w:val="0"/>
        <w:snapToGrid w:val="0"/>
        <w:rPr>
          <w:rFonts w:ascii="彩虹粗仿宋" w:eastAsia="彩虹粗仿宋" w:hAnsi="宋体" w:cs="Arial"/>
          <w:sz w:val="24"/>
        </w:rPr>
      </w:pPr>
    </w:p>
    <w:p w14:paraId="02506D5E" w14:textId="77777777" w:rsidR="00E77209" w:rsidRDefault="009B3274">
      <w:pPr>
        <w:pStyle w:val="2"/>
        <w:jc w:val="center"/>
        <w:rPr>
          <w:rFonts w:ascii="彩虹粗仿宋" w:eastAsia="彩虹粗仿宋"/>
          <w:sz w:val="30"/>
        </w:rPr>
      </w:pPr>
      <w:bookmarkStart w:id="104" w:name="_Toc124325903"/>
      <w:r>
        <w:rPr>
          <w:rFonts w:ascii="彩虹粗仿宋" w:eastAsia="彩虹粗仿宋" w:hint="eastAsia"/>
          <w:sz w:val="30"/>
        </w:rPr>
        <w:t>十九、托管协议的效力</w:t>
      </w:r>
      <w:bookmarkEnd w:id="104"/>
    </w:p>
    <w:p w14:paraId="62805BE1"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双方对托管协议的效力约定如下：</w:t>
      </w:r>
    </w:p>
    <w:p w14:paraId="7151B170"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一）基金管理人在向中国证监会申请发售基金份额时提交的托管协议草案，应经托管协议当事人双方盖章以及双方法定代表人或授权代表签字（或盖章），协议当事人双方根据中国证监会的意见修改托管协议草案。托管协议以中国证监会注册的文本为正式文本。</w:t>
      </w:r>
    </w:p>
    <w:p w14:paraId="6610F957"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（二）托管协议自《基金合同》成立之日起成立，自《基金合同》生效之日起生效。托管协议的有效期自其生效之日起至基金财产清算结果报中国证监会备案并公告之日止。</w:t>
      </w:r>
    </w:p>
    <w:p w14:paraId="343A6EED"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（三）托管协议自生效之日起对托管协议当事人具有同等的法律约束力。</w:t>
      </w:r>
    </w:p>
    <w:p w14:paraId="40BE384A"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（四）本协议一式三份，协议双方各持</w:t>
      </w:r>
      <w:r>
        <w:rPr>
          <w:rFonts w:ascii="彩虹粗仿宋" w:eastAsia="彩虹粗仿宋" w:hAnsi="宋体" w:cs="Arial"/>
          <w:sz w:val="24"/>
        </w:rPr>
        <w:t>一</w:t>
      </w:r>
      <w:r>
        <w:rPr>
          <w:rFonts w:ascii="彩虹粗仿宋" w:eastAsia="彩虹粗仿宋" w:hAnsi="宋体" w:cs="Arial" w:hint="eastAsia"/>
          <w:sz w:val="24"/>
        </w:rPr>
        <w:t>份，上报监管机构</w:t>
      </w:r>
      <w:r>
        <w:rPr>
          <w:rFonts w:ascii="彩虹粗仿宋" w:eastAsia="彩虹粗仿宋" w:hAnsi="宋体" w:cs="Arial"/>
          <w:sz w:val="24"/>
        </w:rPr>
        <w:t>一</w:t>
      </w:r>
      <w:r>
        <w:rPr>
          <w:rFonts w:ascii="彩虹粗仿宋" w:eastAsia="彩虹粗仿宋" w:hAnsi="宋体" w:cs="Arial" w:hint="eastAsia"/>
          <w:sz w:val="24"/>
        </w:rPr>
        <w:t>份，每份具有同等的法律效力。</w:t>
      </w:r>
    </w:p>
    <w:p w14:paraId="5C823F94" w14:textId="77777777" w:rsidR="00E77209" w:rsidRDefault="00E77209">
      <w:pPr>
        <w:adjustRightInd w:val="0"/>
        <w:snapToGrid w:val="0"/>
        <w:rPr>
          <w:rFonts w:ascii="彩虹粗仿宋" w:eastAsia="彩虹粗仿宋" w:hAnsi="宋体" w:cs="Arial"/>
          <w:sz w:val="24"/>
        </w:rPr>
      </w:pPr>
    </w:p>
    <w:p w14:paraId="0BCE02A9" w14:textId="77777777" w:rsidR="00E77209" w:rsidRDefault="009B3274">
      <w:pPr>
        <w:pStyle w:val="2"/>
        <w:jc w:val="center"/>
        <w:rPr>
          <w:rFonts w:ascii="彩虹粗仿宋" w:eastAsia="彩虹粗仿宋"/>
          <w:sz w:val="30"/>
        </w:rPr>
      </w:pPr>
      <w:bookmarkStart w:id="105" w:name="_Toc124325904"/>
      <w:r>
        <w:rPr>
          <w:rFonts w:ascii="彩虹粗仿宋" w:eastAsia="彩虹粗仿宋" w:hint="eastAsia"/>
          <w:sz w:val="30"/>
        </w:rPr>
        <w:t>二十、其他事项</w:t>
      </w:r>
      <w:bookmarkEnd w:id="105"/>
    </w:p>
    <w:p w14:paraId="7948C477"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如发生有权司法机关依法冻结基金份额持有人的基金份额时，基金管理人应予以配合，承担司法协助义务。</w:t>
      </w:r>
    </w:p>
    <w:p w14:paraId="77A5F679" w14:textId="77777777" w:rsidR="00E77209" w:rsidRDefault="009B3274">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除本协议有明确定义外，本协议的用语定义适用《基金合同》的约定。本协议未尽事宜，当事人依据《基金合同》、有关法律法规等规定协商办理。</w:t>
      </w:r>
    </w:p>
    <w:p w14:paraId="34ED79DE" w14:textId="77777777" w:rsidR="00E77209" w:rsidRDefault="00E77209">
      <w:pPr>
        <w:adjustRightInd w:val="0"/>
        <w:snapToGrid w:val="0"/>
        <w:rPr>
          <w:rFonts w:ascii="彩虹粗仿宋" w:eastAsia="彩虹粗仿宋"/>
          <w:b/>
          <w:bCs/>
        </w:rPr>
      </w:pPr>
    </w:p>
    <w:p w14:paraId="15690182" w14:textId="77777777" w:rsidR="00E77209" w:rsidRDefault="009B3274">
      <w:pPr>
        <w:pStyle w:val="2"/>
        <w:jc w:val="center"/>
        <w:rPr>
          <w:rFonts w:ascii="彩虹粗仿宋" w:eastAsia="彩虹粗仿宋"/>
          <w:sz w:val="30"/>
        </w:rPr>
      </w:pPr>
      <w:bookmarkStart w:id="106" w:name="_Toc124325905"/>
      <w:r>
        <w:rPr>
          <w:rFonts w:ascii="彩虹粗仿宋" w:eastAsia="彩虹粗仿宋" w:hint="eastAsia"/>
          <w:sz w:val="30"/>
        </w:rPr>
        <w:t>二十一、托管协议的签订</w:t>
      </w:r>
      <w:bookmarkEnd w:id="106"/>
    </w:p>
    <w:p w14:paraId="786B931E" w14:textId="77777777" w:rsidR="00E77209" w:rsidRDefault="009B3274">
      <w:pPr>
        <w:spacing w:line="360" w:lineRule="auto"/>
        <w:ind w:right="26"/>
        <w:rPr>
          <w:rFonts w:ascii="彩虹粗仿宋" w:eastAsia="彩虹粗仿宋" w:hAnsi="宋体" w:cs="Arial"/>
          <w:sz w:val="24"/>
        </w:rPr>
      </w:pPr>
      <w:r>
        <w:rPr>
          <w:rFonts w:ascii="彩虹粗仿宋" w:eastAsia="彩虹粗仿宋" w:hAnsi="宋体" w:cs="Arial" w:hint="eastAsia"/>
          <w:sz w:val="24"/>
        </w:rPr>
        <w:t>本协议双方当事人盖章、双方法定代表人或授权代表签章、签订地、签订日</w:t>
      </w:r>
    </w:p>
    <w:p w14:paraId="51F7DD42" w14:textId="77777777" w:rsidR="00E77209" w:rsidRDefault="00E77209">
      <w:pPr>
        <w:spacing w:line="360" w:lineRule="auto"/>
        <w:ind w:right="26"/>
        <w:rPr>
          <w:rFonts w:ascii="彩虹粗仿宋" w:eastAsia="彩虹粗仿宋" w:hAnsi="宋体" w:cs="Arial"/>
          <w:sz w:val="24"/>
        </w:rPr>
      </w:pPr>
    </w:p>
    <w:p w14:paraId="056712CC" w14:textId="77777777" w:rsidR="00E77209" w:rsidRDefault="00E77209">
      <w:pPr>
        <w:spacing w:line="360" w:lineRule="auto"/>
        <w:ind w:right="26"/>
      </w:pPr>
    </w:p>
    <w:sectPr w:rsidR="00E77209">
      <w:headerReference w:type="default" r:id="rId9"/>
      <w:footerReference w:type="default" r:id="rId10"/>
      <w:pgSz w:w="11906" w:h="16838"/>
      <w:pgMar w:top="1418" w:right="1701" w:bottom="1418"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CDA9DA" w14:textId="77777777" w:rsidR="00BE7DC1" w:rsidRDefault="00BE7DC1">
      <w:r>
        <w:separator/>
      </w:r>
    </w:p>
  </w:endnote>
  <w:endnote w:type="continuationSeparator" w:id="0">
    <w:p w14:paraId="1DADE045" w14:textId="77777777" w:rsidR="00BE7DC1" w:rsidRDefault="00BE7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仿宋简体">
    <w:altName w:val="微软雅黑"/>
    <w:charset w:val="00"/>
    <w:family w:val="auto"/>
    <w:pitch w:val="default"/>
    <w:sig w:usb0="00000000" w:usb1="00000000" w:usb2="00000012" w:usb3="00000000" w:csb0="00040001" w:csb1="00000000"/>
  </w:font>
  <w:font w:name="Arial Unicode MS">
    <w:altName w:val="Malgun Gothic Semilight"/>
    <w:panose1 w:val="020B0604020202020204"/>
    <w:charset w:val="86"/>
    <w:family w:val="swiss"/>
    <w:pitch w:val="variable"/>
    <w:sig w:usb0="00000000" w:usb1="E9DFFFFF" w:usb2="0000003F" w:usb3="00000000" w:csb0="003F01FF" w:csb1="00000000"/>
  </w:font>
  <w:font w:name="楷体_GB2312">
    <w:altName w:val="楷体"/>
    <w:panose1 w:val="00000000000000000000"/>
    <w:charset w:val="86"/>
    <w:family w:val="modern"/>
    <w:pitch w:val="default"/>
    <w:sig w:usb0="00000000" w:usb1="00000000" w:usb2="00000010" w:usb3="00000000" w:csb0="00040000" w:csb1="00000000"/>
  </w:font>
  <w:font w:name="彩虹粗仿宋">
    <w:altName w:val="Arial Unicode MS"/>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imesNewRomanPSMT">
    <w:altName w:val="微软雅黑"/>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DFFA3" w14:textId="77777777" w:rsidR="007A72B6" w:rsidRDefault="007A72B6">
    <w:pPr>
      <w:pStyle w:val="ae"/>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4AC4D526" w14:textId="77777777" w:rsidR="007A72B6" w:rsidRDefault="007A72B6">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72EBA" w14:textId="6D287734" w:rsidR="007A72B6" w:rsidRDefault="007A72B6">
    <w:pPr>
      <w:pStyle w:val="ae"/>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512412">
      <w:rPr>
        <w:rStyle w:val="af7"/>
        <w:noProof/>
      </w:rPr>
      <w:t>1</w:t>
    </w:r>
    <w:r>
      <w:rPr>
        <w:rStyle w:val="af7"/>
      </w:rPr>
      <w:fldChar w:fldCharType="end"/>
    </w:r>
  </w:p>
  <w:p w14:paraId="42787CE6" w14:textId="77777777" w:rsidR="007A72B6" w:rsidRDefault="007A72B6">
    <w:pPr>
      <w:pStyle w:val="a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8FBFB" w14:textId="77777777" w:rsidR="007A72B6" w:rsidRDefault="007A72B6">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961ED8" w14:textId="77777777" w:rsidR="00BE7DC1" w:rsidRDefault="00BE7DC1">
      <w:r>
        <w:separator/>
      </w:r>
    </w:p>
  </w:footnote>
  <w:footnote w:type="continuationSeparator" w:id="0">
    <w:p w14:paraId="0A3BF805" w14:textId="77777777" w:rsidR="00BE7DC1" w:rsidRDefault="00BE7DC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61366" w14:textId="77777777" w:rsidR="007A72B6" w:rsidRDefault="007A72B6">
    <w:pPr>
      <w:pStyle w:val="af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xMjViNThhODhhMWM4MmVjMTM3NGQxYWU5OWEzZjgifQ=="/>
  </w:docVars>
  <w:rsids>
    <w:rsidRoot w:val="001E5E2F"/>
    <w:rsid w:val="000030A9"/>
    <w:rsid w:val="00017708"/>
    <w:rsid w:val="00020C02"/>
    <w:rsid w:val="000224DE"/>
    <w:rsid w:val="00026C9A"/>
    <w:rsid w:val="00032A73"/>
    <w:rsid w:val="0003434D"/>
    <w:rsid w:val="0004180F"/>
    <w:rsid w:val="00054A33"/>
    <w:rsid w:val="00054BBA"/>
    <w:rsid w:val="00061583"/>
    <w:rsid w:val="00063E4E"/>
    <w:rsid w:val="000867D2"/>
    <w:rsid w:val="00086E6F"/>
    <w:rsid w:val="000A2A16"/>
    <w:rsid w:val="000B1F42"/>
    <w:rsid w:val="000C7B3B"/>
    <w:rsid w:val="000D1AC9"/>
    <w:rsid w:val="000E5BFC"/>
    <w:rsid w:val="0010734F"/>
    <w:rsid w:val="001169DA"/>
    <w:rsid w:val="0012010B"/>
    <w:rsid w:val="00124E9B"/>
    <w:rsid w:val="00127A04"/>
    <w:rsid w:val="001307A8"/>
    <w:rsid w:val="0013106F"/>
    <w:rsid w:val="00133158"/>
    <w:rsid w:val="00143DE8"/>
    <w:rsid w:val="0014554A"/>
    <w:rsid w:val="0014707A"/>
    <w:rsid w:val="00157AE6"/>
    <w:rsid w:val="00165707"/>
    <w:rsid w:val="00170C1E"/>
    <w:rsid w:val="00170E45"/>
    <w:rsid w:val="00187D89"/>
    <w:rsid w:val="00197210"/>
    <w:rsid w:val="001A7BDD"/>
    <w:rsid w:val="001B6F1F"/>
    <w:rsid w:val="001C1762"/>
    <w:rsid w:val="001C39E1"/>
    <w:rsid w:val="001D0041"/>
    <w:rsid w:val="001E5A58"/>
    <w:rsid w:val="001E5E2F"/>
    <w:rsid w:val="001E60EC"/>
    <w:rsid w:val="00204CDD"/>
    <w:rsid w:val="00210707"/>
    <w:rsid w:val="00212BD2"/>
    <w:rsid w:val="0021652C"/>
    <w:rsid w:val="00216FE8"/>
    <w:rsid w:val="0022265F"/>
    <w:rsid w:val="0022409C"/>
    <w:rsid w:val="00247B39"/>
    <w:rsid w:val="00262C27"/>
    <w:rsid w:val="002643D6"/>
    <w:rsid w:val="002701E6"/>
    <w:rsid w:val="00281C30"/>
    <w:rsid w:val="00281F80"/>
    <w:rsid w:val="00285133"/>
    <w:rsid w:val="00285D78"/>
    <w:rsid w:val="00286B8F"/>
    <w:rsid w:val="002924E9"/>
    <w:rsid w:val="00294257"/>
    <w:rsid w:val="002A256F"/>
    <w:rsid w:val="002A7715"/>
    <w:rsid w:val="002B5A42"/>
    <w:rsid w:val="002D1D7D"/>
    <w:rsid w:val="002D4D37"/>
    <w:rsid w:val="002D5340"/>
    <w:rsid w:val="002E02CC"/>
    <w:rsid w:val="002E2AAE"/>
    <w:rsid w:val="002F144D"/>
    <w:rsid w:val="002F5E1B"/>
    <w:rsid w:val="0031022C"/>
    <w:rsid w:val="00316E62"/>
    <w:rsid w:val="003170F8"/>
    <w:rsid w:val="00317F57"/>
    <w:rsid w:val="00332A9B"/>
    <w:rsid w:val="003332D8"/>
    <w:rsid w:val="00335FF7"/>
    <w:rsid w:val="00341A11"/>
    <w:rsid w:val="00343391"/>
    <w:rsid w:val="0035622C"/>
    <w:rsid w:val="00360733"/>
    <w:rsid w:val="0037047C"/>
    <w:rsid w:val="00370984"/>
    <w:rsid w:val="00372A13"/>
    <w:rsid w:val="0037380A"/>
    <w:rsid w:val="00382FC0"/>
    <w:rsid w:val="00385362"/>
    <w:rsid w:val="00386BDF"/>
    <w:rsid w:val="00393666"/>
    <w:rsid w:val="0039617A"/>
    <w:rsid w:val="0039710D"/>
    <w:rsid w:val="003B18EC"/>
    <w:rsid w:val="003C2579"/>
    <w:rsid w:val="003C3584"/>
    <w:rsid w:val="003C5C5E"/>
    <w:rsid w:val="003C79C1"/>
    <w:rsid w:val="003D5451"/>
    <w:rsid w:val="003E070D"/>
    <w:rsid w:val="003E5E3F"/>
    <w:rsid w:val="003F1E2E"/>
    <w:rsid w:val="00404D4F"/>
    <w:rsid w:val="00407404"/>
    <w:rsid w:val="00410C7D"/>
    <w:rsid w:val="0041157C"/>
    <w:rsid w:val="00413DE9"/>
    <w:rsid w:val="00415E42"/>
    <w:rsid w:val="0041725B"/>
    <w:rsid w:val="0042379F"/>
    <w:rsid w:val="00433158"/>
    <w:rsid w:val="00442CE4"/>
    <w:rsid w:val="00450EB8"/>
    <w:rsid w:val="004636CC"/>
    <w:rsid w:val="00465D71"/>
    <w:rsid w:val="00472FAA"/>
    <w:rsid w:val="00480CE3"/>
    <w:rsid w:val="00481D11"/>
    <w:rsid w:val="004A7ED9"/>
    <w:rsid w:val="004B5623"/>
    <w:rsid w:val="004D13C8"/>
    <w:rsid w:val="004D1D5B"/>
    <w:rsid w:val="004E1620"/>
    <w:rsid w:val="004E2B22"/>
    <w:rsid w:val="004E6CAB"/>
    <w:rsid w:val="004F4518"/>
    <w:rsid w:val="004F5F69"/>
    <w:rsid w:val="00501F53"/>
    <w:rsid w:val="00502BE2"/>
    <w:rsid w:val="00511D6D"/>
    <w:rsid w:val="00512412"/>
    <w:rsid w:val="00542636"/>
    <w:rsid w:val="00544943"/>
    <w:rsid w:val="00545105"/>
    <w:rsid w:val="00546E20"/>
    <w:rsid w:val="00555472"/>
    <w:rsid w:val="0055564E"/>
    <w:rsid w:val="00561999"/>
    <w:rsid w:val="0057442A"/>
    <w:rsid w:val="00577B09"/>
    <w:rsid w:val="005813B0"/>
    <w:rsid w:val="005868F1"/>
    <w:rsid w:val="005900A8"/>
    <w:rsid w:val="00597AE4"/>
    <w:rsid w:val="005A0FB2"/>
    <w:rsid w:val="005A10B6"/>
    <w:rsid w:val="005A5F5C"/>
    <w:rsid w:val="005A5F62"/>
    <w:rsid w:val="005C1A6F"/>
    <w:rsid w:val="005D1AD5"/>
    <w:rsid w:val="005D1E9B"/>
    <w:rsid w:val="005D327A"/>
    <w:rsid w:val="005D5C67"/>
    <w:rsid w:val="005E183B"/>
    <w:rsid w:val="005E2979"/>
    <w:rsid w:val="005F3500"/>
    <w:rsid w:val="00605717"/>
    <w:rsid w:val="00612235"/>
    <w:rsid w:val="006150C5"/>
    <w:rsid w:val="0061732E"/>
    <w:rsid w:val="006221C5"/>
    <w:rsid w:val="00622EDE"/>
    <w:rsid w:val="00623B69"/>
    <w:rsid w:val="00624ED8"/>
    <w:rsid w:val="006342D0"/>
    <w:rsid w:val="006372CB"/>
    <w:rsid w:val="00646F14"/>
    <w:rsid w:val="0065540A"/>
    <w:rsid w:val="00660687"/>
    <w:rsid w:val="00663FC4"/>
    <w:rsid w:val="00665845"/>
    <w:rsid w:val="0067146C"/>
    <w:rsid w:val="0067228B"/>
    <w:rsid w:val="00674BEF"/>
    <w:rsid w:val="00677CC5"/>
    <w:rsid w:val="006A15A7"/>
    <w:rsid w:val="006A5FA8"/>
    <w:rsid w:val="006B30AD"/>
    <w:rsid w:val="006B328F"/>
    <w:rsid w:val="006B3CF4"/>
    <w:rsid w:val="006B6E60"/>
    <w:rsid w:val="006C02D0"/>
    <w:rsid w:val="006C2800"/>
    <w:rsid w:val="006C4620"/>
    <w:rsid w:val="006D0861"/>
    <w:rsid w:val="006D3F15"/>
    <w:rsid w:val="006E5561"/>
    <w:rsid w:val="006E6FC7"/>
    <w:rsid w:val="006F37FE"/>
    <w:rsid w:val="006F4DD4"/>
    <w:rsid w:val="00713A01"/>
    <w:rsid w:val="00713C94"/>
    <w:rsid w:val="00720D5F"/>
    <w:rsid w:val="00723BEA"/>
    <w:rsid w:val="007271EC"/>
    <w:rsid w:val="00731070"/>
    <w:rsid w:val="007314AA"/>
    <w:rsid w:val="0074058D"/>
    <w:rsid w:val="00742F18"/>
    <w:rsid w:val="00750BFD"/>
    <w:rsid w:val="00753901"/>
    <w:rsid w:val="00756D89"/>
    <w:rsid w:val="00766163"/>
    <w:rsid w:val="00780F16"/>
    <w:rsid w:val="00792D84"/>
    <w:rsid w:val="00792DBA"/>
    <w:rsid w:val="007A0D30"/>
    <w:rsid w:val="007A0D6B"/>
    <w:rsid w:val="007A72B6"/>
    <w:rsid w:val="007A74C8"/>
    <w:rsid w:val="007B5BC7"/>
    <w:rsid w:val="007E0257"/>
    <w:rsid w:val="007E06FB"/>
    <w:rsid w:val="007E3375"/>
    <w:rsid w:val="008002C1"/>
    <w:rsid w:val="00801289"/>
    <w:rsid w:val="008064E0"/>
    <w:rsid w:val="00815C55"/>
    <w:rsid w:val="00821A24"/>
    <w:rsid w:val="00844222"/>
    <w:rsid w:val="00846988"/>
    <w:rsid w:val="00855321"/>
    <w:rsid w:val="00855A92"/>
    <w:rsid w:val="00857AE8"/>
    <w:rsid w:val="00860F98"/>
    <w:rsid w:val="00873661"/>
    <w:rsid w:val="008829D6"/>
    <w:rsid w:val="008A252F"/>
    <w:rsid w:val="008B2B8F"/>
    <w:rsid w:val="008B5208"/>
    <w:rsid w:val="008C0CE4"/>
    <w:rsid w:val="008C2EEC"/>
    <w:rsid w:val="008C57FB"/>
    <w:rsid w:val="008D1E3D"/>
    <w:rsid w:val="008D3449"/>
    <w:rsid w:val="008E4E6E"/>
    <w:rsid w:val="00903B65"/>
    <w:rsid w:val="009145E7"/>
    <w:rsid w:val="009217A4"/>
    <w:rsid w:val="009240A1"/>
    <w:rsid w:val="0092568A"/>
    <w:rsid w:val="009509C9"/>
    <w:rsid w:val="009558AA"/>
    <w:rsid w:val="00957D81"/>
    <w:rsid w:val="00981150"/>
    <w:rsid w:val="0098614B"/>
    <w:rsid w:val="009867F3"/>
    <w:rsid w:val="009A5929"/>
    <w:rsid w:val="009B1255"/>
    <w:rsid w:val="009B3274"/>
    <w:rsid w:val="009B3F58"/>
    <w:rsid w:val="009B45F8"/>
    <w:rsid w:val="009B50CB"/>
    <w:rsid w:val="009B57F3"/>
    <w:rsid w:val="009C1EA0"/>
    <w:rsid w:val="009C223D"/>
    <w:rsid w:val="009D0F33"/>
    <w:rsid w:val="009E29AB"/>
    <w:rsid w:val="009E388D"/>
    <w:rsid w:val="009F328B"/>
    <w:rsid w:val="00A02DCF"/>
    <w:rsid w:val="00A204D9"/>
    <w:rsid w:val="00A31325"/>
    <w:rsid w:val="00A33EDE"/>
    <w:rsid w:val="00A373E2"/>
    <w:rsid w:val="00A44EDF"/>
    <w:rsid w:val="00A5086B"/>
    <w:rsid w:val="00A5098C"/>
    <w:rsid w:val="00A51A2A"/>
    <w:rsid w:val="00A548FF"/>
    <w:rsid w:val="00A56DE7"/>
    <w:rsid w:val="00A65ACF"/>
    <w:rsid w:val="00A72A24"/>
    <w:rsid w:val="00A74E27"/>
    <w:rsid w:val="00A821C2"/>
    <w:rsid w:val="00A86907"/>
    <w:rsid w:val="00A91524"/>
    <w:rsid w:val="00A9188A"/>
    <w:rsid w:val="00A932CB"/>
    <w:rsid w:val="00A93352"/>
    <w:rsid w:val="00A974A6"/>
    <w:rsid w:val="00AA19E2"/>
    <w:rsid w:val="00AA1F9B"/>
    <w:rsid w:val="00AA2F76"/>
    <w:rsid w:val="00AA32B8"/>
    <w:rsid w:val="00AB1B28"/>
    <w:rsid w:val="00AB2677"/>
    <w:rsid w:val="00AD09B3"/>
    <w:rsid w:val="00AD1E1A"/>
    <w:rsid w:val="00AD3B26"/>
    <w:rsid w:val="00AD5C7E"/>
    <w:rsid w:val="00AD6A66"/>
    <w:rsid w:val="00AE1193"/>
    <w:rsid w:val="00AE24EC"/>
    <w:rsid w:val="00AE4BF2"/>
    <w:rsid w:val="00AF1BCF"/>
    <w:rsid w:val="00B05EC8"/>
    <w:rsid w:val="00B0777C"/>
    <w:rsid w:val="00B123A0"/>
    <w:rsid w:val="00B12F3E"/>
    <w:rsid w:val="00B251D1"/>
    <w:rsid w:val="00B3437D"/>
    <w:rsid w:val="00B34583"/>
    <w:rsid w:val="00B40116"/>
    <w:rsid w:val="00B4018D"/>
    <w:rsid w:val="00B52CE3"/>
    <w:rsid w:val="00B53FC1"/>
    <w:rsid w:val="00B57D6C"/>
    <w:rsid w:val="00B67F0F"/>
    <w:rsid w:val="00B7333D"/>
    <w:rsid w:val="00B917B0"/>
    <w:rsid w:val="00BA201E"/>
    <w:rsid w:val="00BA2F12"/>
    <w:rsid w:val="00BA6646"/>
    <w:rsid w:val="00BB70B0"/>
    <w:rsid w:val="00BC7724"/>
    <w:rsid w:val="00BD217C"/>
    <w:rsid w:val="00BD497D"/>
    <w:rsid w:val="00BE0F41"/>
    <w:rsid w:val="00BE5160"/>
    <w:rsid w:val="00BE7DC1"/>
    <w:rsid w:val="00BF0E86"/>
    <w:rsid w:val="00C04662"/>
    <w:rsid w:val="00C16863"/>
    <w:rsid w:val="00C52754"/>
    <w:rsid w:val="00C54744"/>
    <w:rsid w:val="00C61943"/>
    <w:rsid w:val="00C63A0F"/>
    <w:rsid w:val="00C667B5"/>
    <w:rsid w:val="00C729E2"/>
    <w:rsid w:val="00C75D0F"/>
    <w:rsid w:val="00C826CA"/>
    <w:rsid w:val="00C90B03"/>
    <w:rsid w:val="00CA1F17"/>
    <w:rsid w:val="00CA7F9F"/>
    <w:rsid w:val="00CB061A"/>
    <w:rsid w:val="00CB2CB3"/>
    <w:rsid w:val="00CB6849"/>
    <w:rsid w:val="00CC4B89"/>
    <w:rsid w:val="00CD3ABA"/>
    <w:rsid w:val="00CE2E0D"/>
    <w:rsid w:val="00CE5B87"/>
    <w:rsid w:val="00CF42D4"/>
    <w:rsid w:val="00D0159F"/>
    <w:rsid w:val="00D02C8B"/>
    <w:rsid w:val="00D067F9"/>
    <w:rsid w:val="00D069AE"/>
    <w:rsid w:val="00D332E4"/>
    <w:rsid w:val="00D33989"/>
    <w:rsid w:val="00D33E22"/>
    <w:rsid w:val="00D35C62"/>
    <w:rsid w:val="00D37A28"/>
    <w:rsid w:val="00D37D81"/>
    <w:rsid w:val="00D4192F"/>
    <w:rsid w:val="00D41CC5"/>
    <w:rsid w:val="00D529DF"/>
    <w:rsid w:val="00D7179E"/>
    <w:rsid w:val="00D81456"/>
    <w:rsid w:val="00D8147D"/>
    <w:rsid w:val="00D909F6"/>
    <w:rsid w:val="00D934A9"/>
    <w:rsid w:val="00D94AF6"/>
    <w:rsid w:val="00D96FF6"/>
    <w:rsid w:val="00DA202B"/>
    <w:rsid w:val="00DA23E4"/>
    <w:rsid w:val="00DA73C4"/>
    <w:rsid w:val="00DB36EA"/>
    <w:rsid w:val="00DB4E0E"/>
    <w:rsid w:val="00DB68AB"/>
    <w:rsid w:val="00DC03D4"/>
    <w:rsid w:val="00DC045C"/>
    <w:rsid w:val="00DC0F13"/>
    <w:rsid w:val="00DC34EA"/>
    <w:rsid w:val="00DD085B"/>
    <w:rsid w:val="00DD2A2A"/>
    <w:rsid w:val="00DE0FE1"/>
    <w:rsid w:val="00DE51C5"/>
    <w:rsid w:val="00DE5785"/>
    <w:rsid w:val="00DE7C7C"/>
    <w:rsid w:val="00DF3F82"/>
    <w:rsid w:val="00DF738E"/>
    <w:rsid w:val="00E00F1F"/>
    <w:rsid w:val="00E0420F"/>
    <w:rsid w:val="00E0716D"/>
    <w:rsid w:val="00E072A3"/>
    <w:rsid w:val="00E1225A"/>
    <w:rsid w:val="00E1431B"/>
    <w:rsid w:val="00E23C86"/>
    <w:rsid w:val="00E32955"/>
    <w:rsid w:val="00E41239"/>
    <w:rsid w:val="00E42C04"/>
    <w:rsid w:val="00E45F0D"/>
    <w:rsid w:val="00E4609B"/>
    <w:rsid w:val="00E50ABB"/>
    <w:rsid w:val="00E72E9F"/>
    <w:rsid w:val="00E77209"/>
    <w:rsid w:val="00E80D85"/>
    <w:rsid w:val="00E95FFF"/>
    <w:rsid w:val="00E96063"/>
    <w:rsid w:val="00EA2517"/>
    <w:rsid w:val="00EA3F35"/>
    <w:rsid w:val="00EA421B"/>
    <w:rsid w:val="00EC14AE"/>
    <w:rsid w:val="00EC2497"/>
    <w:rsid w:val="00EC267A"/>
    <w:rsid w:val="00EC3A3F"/>
    <w:rsid w:val="00EC5566"/>
    <w:rsid w:val="00ED3C18"/>
    <w:rsid w:val="00ED7FF5"/>
    <w:rsid w:val="00EE6D18"/>
    <w:rsid w:val="00EE6F7E"/>
    <w:rsid w:val="00EF1B79"/>
    <w:rsid w:val="00F0653F"/>
    <w:rsid w:val="00F12B9D"/>
    <w:rsid w:val="00F213C1"/>
    <w:rsid w:val="00F3204D"/>
    <w:rsid w:val="00F50514"/>
    <w:rsid w:val="00F5197A"/>
    <w:rsid w:val="00F54148"/>
    <w:rsid w:val="00F549F9"/>
    <w:rsid w:val="00F55F95"/>
    <w:rsid w:val="00F63056"/>
    <w:rsid w:val="00F84DBB"/>
    <w:rsid w:val="00F85219"/>
    <w:rsid w:val="00FC5418"/>
    <w:rsid w:val="00FC5CC4"/>
    <w:rsid w:val="00FD26FC"/>
    <w:rsid w:val="00FD5496"/>
    <w:rsid w:val="00FE01F5"/>
    <w:rsid w:val="00FE3D7E"/>
    <w:rsid w:val="00FE4A85"/>
    <w:rsid w:val="00FF3E29"/>
    <w:rsid w:val="00FF6140"/>
    <w:rsid w:val="00FF63F1"/>
    <w:rsid w:val="00FF7AFC"/>
    <w:rsid w:val="00FF7B56"/>
    <w:rsid w:val="25E30419"/>
    <w:rsid w:val="3D5C7AF7"/>
    <w:rsid w:val="47F40EB3"/>
    <w:rsid w:val="4AEA4D1B"/>
    <w:rsid w:val="63AB38E5"/>
    <w:rsid w:val="681216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F956B7-1D6A-431B-8D27-F909E6D94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0" w:qFormat="1"/>
    <w:lsdException w:name="toc 3" w:semiHidden="1" w:uiPriority="0" w:qFormat="1"/>
    <w:lsdException w:name="toc 4" w:semiHidden="1" w:uiPriority="0" w:qFormat="1"/>
    <w:lsdException w:name="toc 5" w:semiHidden="1" w:uiPriority="0" w:qFormat="1"/>
    <w:lsdException w:name="toc 6" w:semiHidden="1" w:uiPriority="0"/>
    <w:lsdException w:name="toc 7" w:semiHidden="1" w:uiPriority="0" w:qFormat="1"/>
    <w:lsdException w:name="toc 8" w:semiHidden="1" w:uiPriority="0" w:qFormat="1"/>
    <w:lsdException w:name="toc 9" w:semiHidden="1" w:uiPriority="0" w:qFormat="1"/>
    <w:lsdException w:name="Normal Indent" w:uiPriority="0" w:qFormat="1"/>
    <w:lsdException w:name="footnote text" w:semiHidden="1" w:unhideWhenUsed="1"/>
    <w:lsdException w:name="annotation text"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semiHidden="1" w:unhideWhenUsed="1" w:qFormat="1"/>
    <w:lsdException w:name="Strong" w:uiPriority="0" w:qFormat="1"/>
    <w:lsdException w:name="Emphasis" w:uiPriority="20" w:qFormat="1"/>
    <w:lsdException w:name="Document Map"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2">
    <w:name w:val="heading 2"/>
    <w:basedOn w:val="a"/>
    <w:next w:val="a0"/>
    <w:link w:val="20"/>
    <w:qFormat/>
    <w:pPr>
      <w:keepNext/>
      <w:keepLines/>
      <w:spacing w:before="260" w:after="260" w:line="416" w:lineRule="auto"/>
      <w:outlineLvl w:val="1"/>
    </w:pPr>
    <w:rPr>
      <w:rFonts w:ascii="Arial" w:eastAsia="黑体" w:hAnsi="Arial"/>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7">
    <w:name w:val="toc 7"/>
    <w:basedOn w:val="a"/>
    <w:next w:val="a"/>
    <w:semiHidden/>
    <w:qFormat/>
    <w:pPr>
      <w:ind w:leftChars="1200" w:left="2520"/>
    </w:pPr>
  </w:style>
  <w:style w:type="paragraph" w:styleId="a4">
    <w:name w:val="Document Map"/>
    <w:basedOn w:val="a"/>
    <w:link w:val="a5"/>
    <w:qFormat/>
    <w:pPr>
      <w:shd w:val="clear" w:color="auto" w:fill="000080"/>
    </w:pPr>
    <w:rPr>
      <w:szCs w:val="20"/>
    </w:rPr>
  </w:style>
  <w:style w:type="paragraph" w:styleId="a6">
    <w:name w:val="annotation text"/>
    <w:basedOn w:val="a"/>
    <w:link w:val="a7"/>
    <w:uiPriority w:val="99"/>
    <w:qFormat/>
    <w:pPr>
      <w:jc w:val="left"/>
    </w:pPr>
  </w:style>
  <w:style w:type="paragraph" w:styleId="a8">
    <w:name w:val="Body Text"/>
    <w:basedOn w:val="a"/>
    <w:link w:val="a9"/>
    <w:qFormat/>
    <w:pPr>
      <w:spacing w:line="360" w:lineRule="auto"/>
    </w:pPr>
    <w:rPr>
      <w:rFonts w:ascii="仿宋_GB2312" w:eastAsia="仿宋_GB2312"/>
      <w:color w:val="000000"/>
      <w:kern w:val="0"/>
      <w:sz w:val="24"/>
      <w:szCs w:val="28"/>
    </w:rPr>
  </w:style>
  <w:style w:type="paragraph" w:styleId="aa">
    <w:name w:val="Body Text Indent"/>
    <w:basedOn w:val="a"/>
    <w:link w:val="ab"/>
    <w:qFormat/>
    <w:pPr>
      <w:adjustRightInd w:val="0"/>
      <w:snapToGrid w:val="0"/>
      <w:spacing w:line="560" w:lineRule="exact"/>
      <w:ind w:firstLineChars="200" w:firstLine="480"/>
    </w:pPr>
    <w:rPr>
      <w:rFonts w:eastAsia="方正仿宋简体"/>
      <w:sz w:val="24"/>
      <w:szCs w:val="30"/>
    </w:rPr>
  </w:style>
  <w:style w:type="paragraph" w:styleId="5">
    <w:name w:val="toc 5"/>
    <w:basedOn w:val="a"/>
    <w:next w:val="a"/>
    <w:semiHidden/>
    <w:qFormat/>
    <w:pPr>
      <w:ind w:leftChars="800" w:left="1680"/>
    </w:pPr>
  </w:style>
  <w:style w:type="paragraph" w:styleId="3">
    <w:name w:val="toc 3"/>
    <w:basedOn w:val="a"/>
    <w:next w:val="a"/>
    <w:semiHidden/>
    <w:qFormat/>
    <w:pPr>
      <w:ind w:leftChars="400" w:left="840"/>
    </w:pPr>
  </w:style>
  <w:style w:type="paragraph" w:styleId="8">
    <w:name w:val="toc 8"/>
    <w:basedOn w:val="a"/>
    <w:next w:val="a"/>
    <w:semiHidden/>
    <w:qFormat/>
    <w:pPr>
      <w:ind w:leftChars="1400" w:left="2940"/>
    </w:pPr>
  </w:style>
  <w:style w:type="paragraph" w:styleId="21">
    <w:name w:val="Body Text Indent 2"/>
    <w:basedOn w:val="a"/>
    <w:link w:val="22"/>
    <w:qFormat/>
    <w:pPr>
      <w:spacing w:line="360" w:lineRule="auto"/>
      <w:ind w:firstLine="525"/>
    </w:pPr>
    <w:rPr>
      <w:rFonts w:ascii="宋体" w:hAnsi="宋体"/>
      <w:sz w:val="28"/>
      <w:szCs w:val="20"/>
    </w:rPr>
  </w:style>
  <w:style w:type="paragraph" w:styleId="ac">
    <w:name w:val="Balloon Text"/>
    <w:basedOn w:val="a"/>
    <w:link w:val="ad"/>
    <w:semiHidden/>
    <w:qFormat/>
    <w:rPr>
      <w:sz w:val="18"/>
      <w:szCs w:val="18"/>
    </w:rPr>
  </w:style>
  <w:style w:type="paragraph" w:styleId="ae">
    <w:name w:val="footer"/>
    <w:basedOn w:val="a"/>
    <w:link w:val="af"/>
    <w:unhideWhenUsed/>
    <w:qFormat/>
    <w:pPr>
      <w:tabs>
        <w:tab w:val="center" w:pos="4153"/>
        <w:tab w:val="right" w:pos="8306"/>
      </w:tabs>
      <w:snapToGrid w:val="0"/>
      <w:jc w:val="left"/>
    </w:pPr>
    <w:rPr>
      <w:sz w:val="18"/>
      <w:szCs w:val="18"/>
    </w:rPr>
  </w:style>
  <w:style w:type="paragraph" w:styleId="af0">
    <w:name w:val="header"/>
    <w:basedOn w:val="a"/>
    <w:link w:val="af1"/>
    <w:unhideWhenUsed/>
    <w:qFormat/>
    <w:pPr>
      <w:pBdr>
        <w:bottom w:val="single" w:sz="6" w:space="1" w:color="auto"/>
      </w:pBdr>
      <w:tabs>
        <w:tab w:val="center" w:pos="4153"/>
        <w:tab w:val="right" w:pos="8306"/>
      </w:tabs>
      <w:snapToGrid w:val="0"/>
      <w:jc w:val="center"/>
    </w:pPr>
    <w:rPr>
      <w:sz w:val="18"/>
      <w:szCs w:val="18"/>
    </w:rPr>
  </w:style>
  <w:style w:type="paragraph" w:styleId="1">
    <w:name w:val="toc 1"/>
    <w:basedOn w:val="a"/>
    <w:next w:val="a"/>
    <w:semiHidden/>
    <w:qFormat/>
  </w:style>
  <w:style w:type="paragraph" w:styleId="4">
    <w:name w:val="toc 4"/>
    <w:basedOn w:val="a"/>
    <w:next w:val="a"/>
    <w:semiHidden/>
    <w:qFormat/>
    <w:pPr>
      <w:ind w:leftChars="600" w:left="1260"/>
    </w:pPr>
  </w:style>
  <w:style w:type="paragraph" w:styleId="6">
    <w:name w:val="toc 6"/>
    <w:basedOn w:val="a"/>
    <w:next w:val="a"/>
    <w:semiHidden/>
    <w:pPr>
      <w:ind w:leftChars="1000" w:left="2100"/>
    </w:pPr>
  </w:style>
  <w:style w:type="paragraph" w:styleId="30">
    <w:name w:val="Body Text Indent 3"/>
    <w:basedOn w:val="a"/>
    <w:link w:val="31"/>
    <w:qFormat/>
    <w:pPr>
      <w:adjustRightInd w:val="0"/>
      <w:snapToGrid w:val="0"/>
      <w:ind w:firstLineChars="200" w:firstLine="480"/>
    </w:pPr>
    <w:rPr>
      <w:rFonts w:ascii="仿宋_GB2312" w:eastAsia="仿宋_GB2312" w:hAnsi="宋体" w:cs="Arial"/>
      <w:color w:val="000000"/>
      <w:sz w:val="24"/>
    </w:rPr>
  </w:style>
  <w:style w:type="paragraph" w:styleId="23">
    <w:name w:val="toc 2"/>
    <w:basedOn w:val="a"/>
    <w:next w:val="a"/>
    <w:semiHidden/>
    <w:qFormat/>
    <w:pPr>
      <w:ind w:leftChars="200" w:left="420"/>
    </w:pPr>
  </w:style>
  <w:style w:type="paragraph" w:styleId="9">
    <w:name w:val="toc 9"/>
    <w:basedOn w:val="a"/>
    <w:next w:val="a"/>
    <w:semiHidden/>
    <w:qFormat/>
    <w:pPr>
      <w:ind w:leftChars="1600" w:left="3360"/>
    </w:p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2">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paragraph" w:styleId="af3">
    <w:name w:val="annotation subject"/>
    <w:basedOn w:val="a6"/>
    <w:next w:val="a6"/>
    <w:link w:val="af4"/>
    <w:qFormat/>
    <w:rPr>
      <w:b/>
      <w:bCs/>
    </w:rPr>
  </w:style>
  <w:style w:type="table" w:styleId="af5">
    <w:name w:val="Table Grid"/>
    <w:uiPriority w:val="39"/>
    <w:qFormat/>
    <w:pPr>
      <w:pBdr>
        <w:top w:val="none" w:sz="0" w:space="0" w:color="000000"/>
        <w:left w:val="none" w:sz="0" w:space="0" w:color="000000"/>
        <w:bottom w:val="none" w:sz="0" w:space="0" w:color="000000"/>
        <w:right w:val="none" w:sz="0" w:space="0" w:color="000000"/>
        <w:between w:val="none" w:sz="0" w:space="0" w:color="000000"/>
      </w:pBdr>
    </w:pPr>
    <w:rPr>
      <w:rFonts w:ascii="Times New Roman" w:eastAsia="宋体" w:hAnsi="Times New Roman" w:cs="Times New Roman"/>
      <w:szCs w:val="22"/>
      <w:lang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6">
    <w:name w:val="Strong"/>
    <w:qFormat/>
    <w:rPr>
      <w:b/>
      <w:bCs/>
    </w:rPr>
  </w:style>
  <w:style w:type="character" w:styleId="af7">
    <w:name w:val="page number"/>
    <w:basedOn w:val="a1"/>
    <w:qFormat/>
  </w:style>
  <w:style w:type="character" w:styleId="af8">
    <w:name w:val="FollowedHyperlink"/>
    <w:basedOn w:val="a1"/>
    <w:uiPriority w:val="99"/>
    <w:semiHidden/>
    <w:unhideWhenUsed/>
    <w:qFormat/>
    <w:rPr>
      <w:color w:val="800080" w:themeColor="followedHyperlink"/>
      <w:u w:val="single"/>
    </w:rPr>
  </w:style>
  <w:style w:type="character" w:styleId="af9">
    <w:name w:val="Hyperlink"/>
    <w:qFormat/>
    <w:rPr>
      <w:color w:val="0000FF"/>
      <w:u w:val="single"/>
    </w:rPr>
  </w:style>
  <w:style w:type="character" w:styleId="afa">
    <w:name w:val="annotation reference"/>
    <w:qFormat/>
    <w:rPr>
      <w:sz w:val="21"/>
      <w:szCs w:val="21"/>
    </w:rPr>
  </w:style>
  <w:style w:type="character" w:customStyle="1" w:styleId="af1">
    <w:name w:val="页眉 字符"/>
    <w:basedOn w:val="a1"/>
    <w:link w:val="af0"/>
    <w:uiPriority w:val="99"/>
    <w:qFormat/>
    <w:rPr>
      <w:sz w:val="18"/>
      <w:szCs w:val="18"/>
    </w:rPr>
  </w:style>
  <w:style w:type="character" w:customStyle="1" w:styleId="af">
    <w:name w:val="页脚 字符"/>
    <w:basedOn w:val="a1"/>
    <w:link w:val="ae"/>
    <w:uiPriority w:val="99"/>
    <w:qFormat/>
    <w:rPr>
      <w:sz w:val="18"/>
      <w:szCs w:val="18"/>
    </w:rPr>
  </w:style>
  <w:style w:type="character" w:customStyle="1" w:styleId="20">
    <w:name w:val="标题 2 字符"/>
    <w:basedOn w:val="a1"/>
    <w:link w:val="2"/>
    <w:qFormat/>
    <w:rPr>
      <w:rFonts w:ascii="Arial" w:eastAsia="黑体" w:hAnsi="Arial" w:cs="Times New Roman"/>
      <w:b/>
      <w:sz w:val="32"/>
      <w:szCs w:val="20"/>
    </w:rPr>
  </w:style>
  <w:style w:type="paragraph" w:customStyle="1" w:styleId="wz1">
    <w:name w:val="wz1"/>
    <w:basedOn w:val="a"/>
    <w:qFormat/>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szCs w:val="22"/>
    </w:rPr>
  </w:style>
  <w:style w:type="character" w:customStyle="1" w:styleId="a9">
    <w:name w:val="正文文本 字符"/>
    <w:basedOn w:val="a1"/>
    <w:link w:val="a8"/>
    <w:qFormat/>
    <w:rPr>
      <w:rFonts w:ascii="仿宋_GB2312" w:eastAsia="仿宋_GB2312" w:hAnsi="Times New Roman" w:cs="Times New Roman"/>
      <w:color w:val="000000"/>
      <w:kern w:val="0"/>
      <w:sz w:val="24"/>
      <w:szCs w:val="28"/>
    </w:rPr>
  </w:style>
  <w:style w:type="character" w:customStyle="1" w:styleId="read">
    <w:name w:val="read"/>
    <w:basedOn w:val="a1"/>
    <w:qFormat/>
  </w:style>
  <w:style w:type="character" w:customStyle="1" w:styleId="ab">
    <w:name w:val="正文文本缩进 字符"/>
    <w:basedOn w:val="a1"/>
    <w:link w:val="aa"/>
    <w:qFormat/>
    <w:rPr>
      <w:rFonts w:ascii="Times New Roman" w:eastAsia="方正仿宋简体" w:hAnsi="Times New Roman" w:cs="Times New Roman"/>
      <w:sz w:val="24"/>
      <w:szCs w:val="30"/>
    </w:rPr>
  </w:style>
  <w:style w:type="character" w:customStyle="1" w:styleId="22">
    <w:name w:val="正文文本缩进 2 字符"/>
    <w:basedOn w:val="a1"/>
    <w:link w:val="21"/>
    <w:qFormat/>
    <w:rPr>
      <w:rFonts w:ascii="宋体" w:eastAsia="宋体" w:hAnsi="宋体" w:cs="Times New Roman"/>
      <w:sz w:val="28"/>
      <w:szCs w:val="20"/>
    </w:rPr>
  </w:style>
  <w:style w:type="character" w:customStyle="1" w:styleId="31">
    <w:name w:val="正文文本缩进 3 字符"/>
    <w:basedOn w:val="a1"/>
    <w:link w:val="30"/>
    <w:qFormat/>
    <w:rPr>
      <w:rFonts w:ascii="仿宋_GB2312" w:eastAsia="仿宋_GB2312" w:hAnsi="宋体" w:cs="Arial"/>
      <w:color w:val="000000"/>
      <w:sz w:val="24"/>
      <w:szCs w:val="24"/>
    </w:rPr>
  </w:style>
  <w:style w:type="character" w:customStyle="1" w:styleId="ad">
    <w:name w:val="批注框文本 字符"/>
    <w:basedOn w:val="a1"/>
    <w:link w:val="ac"/>
    <w:semiHidden/>
    <w:qFormat/>
    <w:rPr>
      <w:rFonts w:ascii="Times New Roman" w:eastAsia="宋体" w:hAnsi="Times New Roman" w:cs="Times New Roman"/>
      <w:sz w:val="18"/>
      <w:szCs w:val="18"/>
    </w:rPr>
  </w:style>
  <w:style w:type="paragraph" w:customStyle="1" w:styleId="Char">
    <w:name w:val="Char"/>
    <w:basedOn w:val="a"/>
    <w:qFormat/>
  </w:style>
  <w:style w:type="paragraph" w:customStyle="1" w:styleId="Char1">
    <w:name w:val="Char1"/>
    <w:basedOn w:val="a"/>
    <w:qFormat/>
    <w:pPr>
      <w:tabs>
        <w:tab w:val="left" w:pos="832"/>
      </w:tabs>
      <w:ind w:left="832" w:hanging="420"/>
      <w:jc w:val="center"/>
    </w:pPr>
    <w:rPr>
      <w:rFonts w:ascii="楷体_GB2312" w:eastAsia="楷体_GB2312"/>
      <w:b/>
      <w:color w:val="000080"/>
      <w:sz w:val="30"/>
      <w:szCs w:val="30"/>
    </w:rPr>
  </w:style>
  <w:style w:type="paragraph" w:customStyle="1" w:styleId="CharCharChar">
    <w:name w:val="Char Char Char"/>
    <w:basedOn w:val="a"/>
    <w:qFormat/>
  </w:style>
  <w:style w:type="character" w:customStyle="1" w:styleId="a7">
    <w:name w:val="批注文字 字符"/>
    <w:basedOn w:val="a1"/>
    <w:link w:val="a6"/>
    <w:uiPriority w:val="99"/>
    <w:qFormat/>
    <w:rPr>
      <w:rFonts w:ascii="Times New Roman" w:eastAsia="宋体" w:hAnsi="Times New Roman" w:cs="Times New Roman"/>
      <w:szCs w:val="24"/>
    </w:rPr>
  </w:style>
  <w:style w:type="paragraph" w:customStyle="1" w:styleId="CharCharCharCharCharCharChar1CharCharCharCharCharChar">
    <w:name w:val="Char Char Char Char Char Char Char1 Char Char Char Char Char Char"/>
    <w:basedOn w:val="a"/>
    <w:qFormat/>
  </w:style>
  <w:style w:type="paragraph" w:customStyle="1" w:styleId="CharChar">
    <w:name w:val="Char Char"/>
    <w:basedOn w:val="a"/>
    <w:qFormat/>
    <w:rPr>
      <w:szCs w:val="20"/>
    </w:rPr>
  </w:style>
  <w:style w:type="character" w:customStyle="1" w:styleId="HTML0">
    <w:name w:val="HTML 预设格式 字符"/>
    <w:basedOn w:val="a1"/>
    <w:link w:val="HTML"/>
    <w:uiPriority w:val="99"/>
    <w:qFormat/>
    <w:rPr>
      <w:rFonts w:ascii="宋体" w:eastAsia="宋体" w:hAnsi="宋体" w:cs="宋体"/>
      <w:kern w:val="0"/>
      <w:sz w:val="24"/>
      <w:szCs w:val="24"/>
    </w:rPr>
  </w:style>
  <w:style w:type="character" w:customStyle="1" w:styleId="af4">
    <w:name w:val="批注主题 字符"/>
    <w:basedOn w:val="a7"/>
    <w:link w:val="af3"/>
    <w:qFormat/>
    <w:rPr>
      <w:rFonts w:ascii="Times New Roman" w:eastAsia="宋体" w:hAnsi="Times New Roman" w:cs="Times New Roman"/>
      <w:b/>
      <w:bCs/>
      <w:szCs w:val="24"/>
    </w:rPr>
  </w:style>
  <w:style w:type="paragraph" w:customStyle="1" w:styleId="Style47">
    <w:name w:val="_Style 47"/>
    <w:uiPriority w:val="99"/>
    <w:unhideWhenUsed/>
    <w:qFormat/>
    <w:pPr>
      <w:widowControl w:val="0"/>
      <w:jc w:val="both"/>
    </w:pPr>
    <w:rPr>
      <w:rFonts w:ascii="Times New Roman" w:eastAsia="宋体" w:hAnsi="Times New Roman" w:cs="Times New Roman"/>
      <w:kern w:val="2"/>
      <w:sz w:val="21"/>
      <w:szCs w:val="24"/>
    </w:rPr>
  </w:style>
  <w:style w:type="paragraph" w:customStyle="1" w:styleId="10">
    <w:name w:val="修订1"/>
    <w:hidden/>
    <w:uiPriority w:val="99"/>
    <w:semiHidden/>
    <w:qFormat/>
    <w:rPr>
      <w:rFonts w:ascii="Times New Roman" w:eastAsia="宋体" w:hAnsi="Times New Roman" w:cs="Times New Roman"/>
      <w:kern w:val="2"/>
      <w:sz w:val="21"/>
      <w:szCs w:val="24"/>
    </w:rPr>
  </w:style>
  <w:style w:type="paragraph" w:customStyle="1" w:styleId="24">
    <w:name w:val="修订2"/>
    <w:hidden/>
    <w:uiPriority w:val="99"/>
    <w:semiHidden/>
    <w:qFormat/>
    <w:rPr>
      <w:rFonts w:ascii="Times New Roman" w:eastAsia="宋体" w:hAnsi="Times New Roman" w:cs="Times New Roman"/>
      <w:kern w:val="2"/>
      <w:sz w:val="21"/>
      <w:szCs w:val="24"/>
    </w:rPr>
  </w:style>
  <w:style w:type="character" w:customStyle="1" w:styleId="a5">
    <w:name w:val="文档结构图 字符"/>
    <w:basedOn w:val="a1"/>
    <w:link w:val="a4"/>
    <w:qFormat/>
    <w:rPr>
      <w:rFonts w:ascii="Times New Roman" w:eastAsia="宋体" w:hAnsi="Times New Roman" w:cs="Times New Roman"/>
      <w:kern w:val="2"/>
      <w:sz w:val="21"/>
      <w:shd w:val="clear" w:color="auto" w:fill="000080"/>
    </w:rPr>
  </w:style>
  <w:style w:type="paragraph" w:customStyle="1" w:styleId="32">
    <w:name w:val="修订3"/>
    <w:hidden/>
    <w:uiPriority w:val="99"/>
    <w:unhideWhenUsed/>
    <w:qFormat/>
    <w:rPr>
      <w:rFonts w:ascii="Times New Roman" w:eastAsia="宋体" w:hAnsi="Times New Roman" w:cs="Times New Roman"/>
      <w:kern w:val="2"/>
      <w:sz w:val="21"/>
      <w:szCs w:val="24"/>
    </w:rPr>
  </w:style>
  <w:style w:type="paragraph" w:customStyle="1" w:styleId="40">
    <w:name w:val="修订4"/>
    <w:hidden/>
    <w:uiPriority w:val="99"/>
    <w:semiHidden/>
    <w:qFormat/>
    <w:rPr>
      <w:rFonts w:ascii="Times New Roman" w:eastAsia="宋体" w:hAnsi="Times New Roman" w:cs="Times New Roman"/>
      <w:kern w:val="2"/>
      <w:sz w:val="21"/>
      <w:szCs w:val="24"/>
    </w:rPr>
  </w:style>
  <w:style w:type="paragraph" w:styleId="afb">
    <w:name w:val="List Paragraph"/>
    <w:basedOn w:val="a"/>
    <w:uiPriority w:val="34"/>
    <w:qFormat/>
    <w:pPr>
      <w:widowControl/>
      <w:pBdr>
        <w:top w:val="none" w:sz="0" w:space="0" w:color="000000"/>
        <w:left w:val="none" w:sz="0" w:space="0" w:color="000000"/>
        <w:bottom w:val="none" w:sz="0" w:space="0" w:color="000000"/>
        <w:right w:val="none" w:sz="0" w:space="0" w:color="000000"/>
        <w:between w:val="none" w:sz="0" w:space="0" w:color="000000"/>
      </w:pBdr>
      <w:ind w:firstLine="420"/>
      <w:jc w:val="left"/>
    </w:pPr>
    <w:rPr>
      <w:rFonts w:ascii="Calibri" w:hAnsi="Calibri"/>
      <w:kern w:val="0"/>
      <w:sz w:val="20"/>
      <w:szCs w:val="22"/>
      <w:lang w:eastAsia="en-US" w:bidi="en-US"/>
    </w:rPr>
  </w:style>
  <w:style w:type="paragraph" w:customStyle="1" w:styleId="50">
    <w:name w:val="修订5"/>
    <w:hidden/>
    <w:uiPriority w:val="99"/>
    <w:semiHidden/>
    <w:rPr>
      <w:rFonts w:ascii="Times New Roman" w:eastAsia="宋体" w:hAnsi="Times New Roman" w:cs="Times New Roman"/>
      <w:kern w:val="2"/>
      <w:sz w:val="21"/>
      <w:szCs w:val="24"/>
    </w:rPr>
  </w:style>
  <w:style w:type="paragraph" w:styleId="afc">
    <w:name w:val="Revision"/>
    <w:hidden/>
    <w:uiPriority w:val="99"/>
    <w:semiHidden/>
    <w:rsid w:val="00370984"/>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E5861-82E6-4783-962A-25AF223F9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5587</Words>
  <Characters>31851</Characters>
  <Application>Microsoft Office Word</Application>
  <DocSecurity>0</DocSecurity>
  <Lines>265</Lines>
  <Paragraphs>74</Paragraphs>
  <ScaleCrop>false</ScaleCrop>
  <Company>神州网信技术有限公司</Company>
  <LinksUpToDate>false</LinksUpToDate>
  <CharactersWithSpaces>37364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孙婧</dc:creator>
  <cp:lastModifiedBy>李鸿奡</cp:lastModifiedBy>
  <cp:revision>3</cp:revision>
  <cp:lastPrinted>2026-05-11T05:19:00Z</cp:lastPrinted>
  <dcterms:created xsi:type="dcterms:W3CDTF">2026-07-28T01:34:00Z</dcterms:created>
  <dcterms:modified xsi:type="dcterms:W3CDTF">2026-07-31T08:12:00Z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F9FA9B04793D4C3DBF3A4683D197AE7A_13</vt:lpwstr>
  </property>
</Properties>
</file>